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="0004710E" w:rsidP="0004710E" w:rsidRDefault="0004710E" w14:paraId="1040624D" w14:textId="6604E6D8">
      <w:pPr>
        <w:rPr>
          <w:sz w:val="18"/>
          <w:szCs w:val="18"/>
        </w:rPr>
      </w:pPr>
      <w:r w:rsidRPr="0004710E">
        <w:rPr>
          <w:b/>
          <w:bCs/>
          <w:sz w:val="28"/>
          <w:szCs w:val="28"/>
        </w:rPr>
        <w:t>Archatrak ‘</w:t>
      </w:r>
      <w:r w:rsidR="00044AF1">
        <w:rPr>
          <w:b/>
          <w:bCs/>
          <w:sz w:val="28"/>
          <w:szCs w:val="28"/>
        </w:rPr>
        <w:t>Incendio</w:t>
      </w:r>
      <w:r w:rsidRPr="0004710E">
        <w:rPr>
          <w:b/>
          <w:bCs/>
          <w:sz w:val="28"/>
          <w:szCs w:val="28"/>
        </w:rPr>
        <w:t>’ Pedestal</w:t>
      </w:r>
      <w:r w:rsidRPr="0004710E">
        <w:rPr>
          <w:sz w:val="18"/>
          <w:szCs w:val="18"/>
        </w:rPr>
        <w:br/>
      </w:r>
      <w:r w:rsidRPr="0004710E">
        <w:rPr>
          <w:sz w:val="18"/>
          <w:szCs w:val="18"/>
        </w:rPr>
        <w:br/>
      </w:r>
      <w:r w:rsidR="0097653E">
        <w:rPr>
          <w:sz w:val="18"/>
          <w:szCs w:val="18"/>
        </w:rPr>
        <w:t>A</w:t>
      </w:r>
      <w:r w:rsidR="001B7B46">
        <w:rPr>
          <w:sz w:val="18"/>
          <w:szCs w:val="18"/>
        </w:rPr>
        <w:t>djustable height</w:t>
      </w:r>
      <w:r w:rsidR="0097653E">
        <w:rPr>
          <w:sz w:val="18"/>
          <w:szCs w:val="18"/>
        </w:rPr>
        <w:t>,</w:t>
      </w:r>
      <w:r w:rsidR="001B7B46">
        <w:rPr>
          <w:sz w:val="18"/>
          <w:szCs w:val="18"/>
        </w:rPr>
        <w:t xml:space="preserve"> </w:t>
      </w:r>
      <w:r w:rsidR="00044AF1">
        <w:rPr>
          <w:sz w:val="18"/>
          <w:szCs w:val="18"/>
        </w:rPr>
        <w:t>all steel</w:t>
      </w:r>
      <w:r w:rsidR="00A71A05">
        <w:rPr>
          <w:sz w:val="18"/>
          <w:szCs w:val="18"/>
        </w:rPr>
        <w:t>, corrosion resistant</w:t>
      </w:r>
      <w:r w:rsidR="00A57C44">
        <w:rPr>
          <w:sz w:val="18"/>
          <w:szCs w:val="18"/>
        </w:rPr>
        <w:t xml:space="preserve"> </w:t>
      </w:r>
      <w:r w:rsidR="00C30512">
        <w:rPr>
          <w:sz w:val="18"/>
          <w:szCs w:val="18"/>
        </w:rPr>
        <w:t xml:space="preserve">and non-combustible </w:t>
      </w:r>
      <w:r w:rsidR="00A57C44">
        <w:rPr>
          <w:sz w:val="18"/>
          <w:szCs w:val="18"/>
        </w:rPr>
        <w:t xml:space="preserve">pedestal with </w:t>
      </w:r>
      <w:r w:rsidR="00C02013">
        <w:rPr>
          <w:sz w:val="18"/>
          <w:szCs w:val="18"/>
        </w:rPr>
        <w:t>fire resistant polypropylene</w:t>
      </w:r>
      <w:r w:rsidR="00594D26">
        <w:rPr>
          <w:sz w:val="18"/>
          <w:szCs w:val="18"/>
        </w:rPr>
        <w:t xml:space="preserve"> head cap</w:t>
      </w:r>
      <w:r w:rsidR="00602B4B">
        <w:rPr>
          <w:sz w:val="18"/>
          <w:szCs w:val="18"/>
        </w:rPr>
        <w:t xml:space="preserve"> fitted with</w:t>
      </w:r>
      <w:r w:rsidR="00956583">
        <w:rPr>
          <w:sz w:val="18"/>
          <w:szCs w:val="18"/>
        </w:rPr>
        <w:t xml:space="preserve"> spacer tabs</w:t>
      </w:r>
      <w:r w:rsidR="005F2698">
        <w:rPr>
          <w:sz w:val="18"/>
          <w:szCs w:val="18"/>
        </w:rPr>
        <w:t>.</w:t>
      </w:r>
      <w:r w:rsidR="0097653E">
        <w:rPr>
          <w:sz w:val="18"/>
          <w:szCs w:val="18"/>
        </w:rPr>
        <w:t xml:space="preserve"> </w:t>
      </w:r>
      <w:r w:rsidR="00886060">
        <w:rPr>
          <w:sz w:val="18"/>
          <w:szCs w:val="18"/>
        </w:rPr>
        <w:t>Seven</w:t>
      </w:r>
      <w:r w:rsidRPr="0004710E">
        <w:rPr>
          <w:sz w:val="18"/>
          <w:szCs w:val="18"/>
        </w:rPr>
        <w:t xml:space="preserve"> pedestal</w:t>
      </w:r>
      <w:r>
        <w:rPr>
          <w:sz w:val="18"/>
          <w:szCs w:val="18"/>
        </w:rPr>
        <w:t xml:space="preserve"> models</w:t>
      </w:r>
      <w:r w:rsidRPr="0004710E">
        <w:rPr>
          <w:sz w:val="18"/>
          <w:szCs w:val="18"/>
        </w:rPr>
        <w:t xml:space="preserve"> cover the height range from 1</w:t>
      </w:r>
      <w:r w:rsidR="00886060">
        <w:rPr>
          <w:sz w:val="18"/>
          <w:szCs w:val="18"/>
        </w:rPr>
        <w:t>”</w:t>
      </w:r>
      <w:r w:rsidRPr="0004710E">
        <w:rPr>
          <w:sz w:val="18"/>
          <w:szCs w:val="18"/>
        </w:rPr>
        <w:t xml:space="preserve"> to 1</w:t>
      </w:r>
      <w:r w:rsidR="00436099">
        <w:rPr>
          <w:sz w:val="18"/>
          <w:szCs w:val="18"/>
        </w:rPr>
        <w:t>9 1/</w:t>
      </w:r>
      <w:r w:rsidR="00C30512">
        <w:rPr>
          <w:sz w:val="18"/>
          <w:szCs w:val="18"/>
        </w:rPr>
        <w:t>4</w:t>
      </w:r>
      <w:r w:rsidRPr="0004710E">
        <w:rPr>
          <w:sz w:val="18"/>
          <w:szCs w:val="18"/>
        </w:rPr>
        <w:t>″</w:t>
      </w:r>
      <w:r w:rsidRPr="0004710E">
        <w:rPr>
          <w:sz w:val="18"/>
          <w:szCs w:val="18"/>
        </w:rPr>
        <w:t>.</w:t>
      </w:r>
      <w:r w:rsidR="001515FD">
        <w:rPr>
          <w:sz w:val="18"/>
          <w:szCs w:val="18"/>
        </w:rPr>
        <w:t xml:space="preserve"> </w:t>
      </w:r>
      <w:r w:rsidR="002B1A00">
        <w:rPr>
          <w:sz w:val="18"/>
          <w:szCs w:val="18"/>
        </w:rPr>
        <w:t>Incendio</w:t>
      </w:r>
      <w:r w:rsidR="00066D15">
        <w:rPr>
          <w:sz w:val="18"/>
          <w:szCs w:val="18"/>
        </w:rPr>
        <w:t xml:space="preserve"> pedestals are s</w:t>
      </w:r>
      <w:r w:rsidR="005B1CD7">
        <w:rPr>
          <w:sz w:val="18"/>
          <w:szCs w:val="18"/>
        </w:rPr>
        <w:t xml:space="preserve">upplied </w:t>
      </w:r>
      <w:r w:rsidR="00B86539">
        <w:rPr>
          <w:sz w:val="18"/>
          <w:szCs w:val="18"/>
        </w:rPr>
        <w:t>as</w:t>
      </w:r>
      <w:r w:rsidR="005B1CD7">
        <w:rPr>
          <w:sz w:val="18"/>
          <w:szCs w:val="18"/>
        </w:rPr>
        <w:t xml:space="preserve"> </w:t>
      </w:r>
      <w:r w:rsidR="002F5E25">
        <w:rPr>
          <w:sz w:val="18"/>
          <w:szCs w:val="18"/>
        </w:rPr>
        <w:t xml:space="preserve">fully assembled </w:t>
      </w:r>
      <w:r w:rsidR="00EB7E41">
        <w:rPr>
          <w:sz w:val="18"/>
          <w:szCs w:val="18"/>
        </w:rPr>
        <w:t xml:space="preserve">units </w:t>
      </w:r>
      <w:r w:rsidR="002F5E25">
        <w:rPr>
          <w:sz w:val="18"/>
          <w:szCs w:val="18"/>
        </w:rPr>
        <w:t>with base and screwed colu</w:t>
      </w:r>
      <w:r w:rsidR="009F44DD">
        <w:rPr>
          <w:sz w:val="18"/>
          <w:szCs w:val="18"/>
        </w:rPr>
        <w:t>mns</w:t>
      </w:r>
      <w:r w:rsidR="00313F4E">
        <w:rPr>
          <w:sz w:val="18"/>
          <w:szCs w:val="18"/>
        </w:rPr>
        <w:t xml:space="preserve">. </w:t>
      </w:r>
      <w:r w:rsidR="009F44DD">
        <w:rPr>
          <w:sz w:val="18"/>
          <w:szCs w:val="18"/>
        </w:rPr>
        <w:t xml:space="preserve"> </w:t>
      </w:r>
      <w:r w:rsidR="00066D15">
        <w:rPr>
          <w:sz w:val="18"/>
          <w:szCs w:val="18"/>
        </w:rPr>
        <w:t xml:space="preserve">The </w:t>
      </w:r>
      <w:r w:rsidR="00FA73DC">
        <w:rPr>
          <w:sz w:val="18"/>
          <w:szCs w:val="18"/>
        </w:rPr>
        <w:t xml:space="preserve">plastic head cap is </w:t>
      </w:r>
      <w:r w:rsidR="006611EB">
        <w:rPr>
          <w:sz w:val="18"/>
          <w:szCs w:val="18"/>
        </w:rPr>
        <w:t>simply snapped onto the head of the pedestal</w:t>
      </w:r>
      <w:r w:rsidR="00972978">
        <w:rPr>
          <w:sz w:val="18"/>
          <w:szCs w:val="18"/>
        </w:rPr>
        <w:t>.</w:t>
      </w:r>
    </w:p>
    <w:p w:rsidR="00140E7A" w:rsidP="00675FE6" w:rsidRDefault="00C27653" w14:paraId="09B79C3F" w14:textId="3DF4D2C1"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noProof/>
          <w:sz w:val="18"/>
          <w:szCs w:val="18"/>
        </w:rPr>
        <w:drawing>
          <wp:anchor distT="0" distB="0" distL="114300" distR="114300" simplePos="0" relativeHeight="251683840" behindDoc="1" locked="0" layoutInCell="1" allowOverlap="1" wp14:anchorId="3A622766" wp14:editId="6E0A7E36">
            <wp:simplePos x="0" y="0"/>
            <wp:positionH relativeFrom="column">
              <wp:posOffset>4869815</wp:posOffset>
            </wp:positionH>
            <wp:positionV relativeFrom="paragraph">
              <wp:posOffset>8255</wp:posOffset>
            </wp:positionV>
            <wp:extent cx="1973580" cy="1714500"/>
            <wp:effectExtent l="0" t="0" r="7620" b="0"/>
            <wp:wrapTight wrapText="bothSides">
              <wp:wrapPolygon edited="0">
                <wp:start x="0" y="0"/>
                <wp:lineTo x="0" y="21360"/>
                <wp:lineTo x="21475" y="21360"/>
                <wp:lineTo x="21475" y="0"/>
                <wp:lineTo x="0" y="0"/>
              </wp:wrapPolygon>
            </wp:wrapTight>
            <wp:docPr id="778296570" name="Picture 7" descr="A black metal object with a screw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296570" name="Picture 7" descr="A black metal object with a screw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358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086A">
        <w:rPr>
          <w:sz w:val="18"/>
          <w:szCs w:val="18"/>
        </w:rPr>
        <w:t>Totally non-</w:t>
      </w:r>
      <w:r w:rsidR="006311D1">
        <w:rPr>
          <w:sz w:val="18"/>
          <w:szCs w:val="18"/>
        </w:rPr>
        <w:t xml:space="preserve">combustible </w:t>
      </w:r>
      <w:r w:rsidR="00836F99">
        <w:rPr>
          <w:sz w:val="18"/>
          <w:szCs w:val="18"/>
        </w:rPr>
        <w:t>–</w:t>
      </w:r>
      <w:r w:rsidRPr="00140E7A" w:rsidR="00140E7A">
        <w:t xml:space="preserve"> </w:t>
      </w:r>
      <w:r w:rsidR="00794CCC">
        <w:t>w</w:t>
      </w:r>
      <w:r w:rsidRPr="00140E7A" w:rsidR="00140E7A">
        <w:rPr>
          <w:sz w:val="18"/>
          <w:szCs w:val="18"/>
        </w:rPr>
        <w:t>ill not catch fire, create smoke, or spread flames</w:t>
      </w:r>
      <w:r w:rsidR="006862FC">
        <w:rPr>
          <w:sz w:val="18"/>
          <w:szCs w:val="18"/>
        </w:rPr>
        <w:t>,</w:t>
      </w:r>
    </w:p>
    <w:p w:rsidR="00E65D32" w:rsidP="00140E7A" w:rsidRDefault="00140E7A" w14:paraId="5FE2537D" w14:textId="34A478E7">
      <w:pPr>
        <w:pStyle w:val="ListParagraph"/>
        <w:rPr>
          <w:sz w:val="18"/>
          <w:szCs w:val="18"/>
        </w:rPr>
      </w:pPr>
      <w:r>
        <w:rPr>
          <w:sz w:val="18"/>
          <w:szCs w:val="18"/>
        </w:rPr>
        <w:t>M</w:t>
      </w:r>
      <w:r w:rsidR="00836F99">
        <w:rPr>
          <w:sz w:val="18"/>
          <w:szCs w:val="18"/>
        </w:rPr>
        <w:t xml:space="preserve">ild steel </w:t>
      </w:r>
      <w:r w:rsidR="00BA13A0">
        <w:rPr>
          <w:sz w:val="18"/>
          <w:szCs w:val="18"/>
        </w:rPr>
        <w:t xml:space="preserve">construction </w:t>
      </w:r>
      <w:r w:rsidR="00836F99">
        <w:rPr>
          <w:sz w:val="18"/>
          <w:szCs w:val="18"/>
        </w:rPr>
        <w:t xml:space="preserve">passes </w:t>
      </w:r>
      <w:r w:rsidRPr="00836F99" w:rsidR="00836F99">
        <w:rPr>
          <w:sz w:val="18"/>
          <w:szCs w:val="18"/>
        </w:rPr>
        <w:t>ASTM E 136</w:t>
      </w:r>
      <w:r w:rsidR="00836F99">
        <w:rPr>
          <w:sz w:val="18"/>
          <w:szCs w:val="18"/>
        </w:rPr>
        <w:t xml:space="preserve"> </w:t>
      </w:r>
      <w:r w:rsidR="00E65D32">
        <w:rPr>
          <w:sz w:val="18"/>
          <w:szCs w:val="18"/>
        </w:rPr>
        <w:t>‘</w:t>
      </w:r>
      <w:r w:rsidRPr="00E65D32" w:rsidR="00E65D32">
        <w:rPr>
          <w:sz w:val="18"/>
          <w:szCs w:val="18"/>
        </w:rPr>
        <w:t>Combustibility at 750</w:t>
      </w:r>
      <w:r w:rsidR="00E65D32">
        <w:rPr>
          <w:sz w:val="18"/>
          <w:szCs w:val="18"/>
        </w:rPr>
        <w:t>°</w:t>
      </w:r>
      <w:r w:rsidRPr="00E65D32" w:rsidR="00E65D32">
        <w:rPr>
          <w:sz w:val="18"/>
          <w:szCs w:val="18"/>
        </w:rPr>
        <w:t>C</w:t>
      </w:r>
      <w:r w:rsidR="00376F22">
        <w:rPr>
          <w:sz w:val="18"/>
          <w:szCs w:val="18"/>
        </w:rPr>
        <w:t>’</w:t>
      </w:r>
      <w:r w:rsidRPr="00E65D32" w:rsidR="00E65D32">
        <w:rPr>
          <w:sz w:val="18"/>
          <w:szCs w:val="18"/>
        </w:rPr>
        <w:t xml:space="preserve"> </w:t>
      </w:r>
      <w:r w:rsidR="00E65D32">
        <w:rPr>
          <w:sz w:val="18"/>
          <w:szCs w:val="18"/>
        </w:rPr>
        <w:t>and NFPA 220</w:t>
      </w:r>
      <w:r w:rsidR="00376F22">
        <w:rPr>
          <w:sz w:val="18"/>
          <w:szCs w:val="18"/>
        </w:rPr>
        <w:t xml:space="preserve"> criteria.</w:t>
      </w:r>
    </w:p>
    <w:p w:rsidR="0004710E" w:rsidP="00675FE6" w:rsidRDefault="00144121" w14:paraId="332F8D37" w14:textId="54E986DB"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Seven</w:t>
      </w:r>
      <w:r w:rsidRPr="00675FE6" w:rsidR="0004710E">
        <w:rPr>
          <w:sz w:val="18"/>
          <w:szCs w:val="18"/>
        </w:rPr>
        <w:t xml:space="preserve"> pedestal</w:t>
      </w:r>
      <w:r w:rsidRPr="00675FE6" w:rsidR="00EF3019">
        <w:rPr>
          <w:sz w:val="18"/>
          <w:szCs w:val="18"/>
        </w:rPr>
        <w:t>s</w:t>
      </w:r>
      <w:r w:rsidRPr="00675FE6" w:rsidR="0004710E">
        <w:rPr>
          <w:sz w:val="18"/>
          <w:szCs w:val="18"/>
        </w:rPr>
        <w:t xml:space="preserve"> </w:t>
      </w:r>
      <w:r w:rsidR="00C34FB4">
        <w:rPr>
          <w:sz w:val="18"/>
          <w:szCs w:val="18"/>
        </w:rPr>
        <w:t>span</w:t>
      </w:r>
      <w:r>
        <w:rPr>
          <w:sz w:val="18"/>
          <w:szCs w:val="18"/>
        </w:rPr>
        <w:t xml:space="preserve"> the range</w:t>
      </w:r>
      <w:r w:rsidRPr="00675FE6" w:rsidR="0004710E">
        <w:rPr>
          <w:sz w:val="18"/>
          <w:szCs w:val="18"/>
        </w:rPr>
        <w:t xml:space="preserve"> 1" to 1</w:t>
      </w:r>
      <w:r>
        <w:rPr>
          <w:sz w:val="18"/>
          <w:szCs w:val="18"/>
        </w:rPr>
        <w:t xml:space="preserve">9 </w:t>
      </w:r>
      <w:r w:rsidR="00C34FB4">
        <w:rPr>
          <w:sz w:val="18"/>
          <w:szCs w:val="18"/>
        </w:rPr>
        <w:t>¼”</w:t>
      </w:r>
      <w:r w:rsidR="00307321">
        <w:rPr>
          <w:sz w:val="18"/>
          <w:szCs w:val="18"/>
        </w:rPr>
        <w:t>.</w:t>
      </w:r>
    </w:p>
    <w:p w:rsidR="007518AB" w:rsidP="00675FE6" w:rsidRDefault="007518AB" w14:paraId="1AECD5F2" w14:textId="1EE8A176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7518AB">
        <w:rPr>
          <w:sz w:val="18"/>
          <w:szCs w:val="18"/>
        </w:rPr>
        <w:t xml:space="preserve">Electrophoretic coating </w:t>
      </w:r>
      <w:r w:rsidR="006862FC">
        <w:rPr>
          <w:sz w:val="18"/>
          <w:szCs w:val="18"/>
        </w:rPr>
        <w:t>provides</w:t>
      </w:r>
      <w:r w:rsidRPr="007518AB">
        <w:rPr>
          <w:sz w:val="18"/>
          <w:szCs w:val="18"/>
        </w:rPr>
        <w:t xml:space="preserve"> excellent corrosion resistance</w:t>
      </w:r>
      <w:r w:rsidR="006862FC">
        <w:rPr>
          <w:sz w:val="18"/>
          <w:szCs w:val="18"/>
        </w:rPr>
        <w:t>.</w:t>
      </w:r>
    </w:p>
    <w:p w:rsidR="00C03F88" w:rsidP="00C03F88" w:rsidRDefault="00616ACF" w14:paraId="78CF3261" w14:textId="3C54230B"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Snap on p</w:t>
      </w:r>
      <w:r w:rsidR="00FF29CB">
        <w:rPr>
          <w:sz w:val="18"/>
          <w:szCs w:val="18"/>
        </w:rPr>
        <w:t>olypropylene</w:t>
      </w:r>
      <w:r w:rsidRPr="00675FE6" w:rsidR="00C03F88">
        <w:rPr>
          <w:sz w:val="18"/>
          <w:szCs w:val="18"/>
        </w:rPr>
        <w:t xml:space="preserve"> head </w:t>
      </w:r>
      <w:r w:rsidR="00FF29CB">
        <w:rPr>
          <w:sz w:val="18"/>
          <w:szCs w:val="18"/>
        </w:rPr>
        <w:t xml:space="preserve">cap </w:t>
      </w:r>
      <w:r w:rsidRPr="00675FE6" w:rsidR="00C03F88">
        <w:rPr>
          <w:sz w:val="18"/>
          <w:szCs w:val="18"/>
        </w:rPr>
        <w:t xml:space="preserve">with inbuilt spacer tabs. </w:t>
      </w:r>
    </w:p>
    <w:p w:rsidRPr="00606098" w:rsidR="00606098" w:rsidP="00C0301E" w:rsidRDefault="00606098" w14:paraId="2A25686E" w14:textId="7013788A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606098">
        <w:rPr>
          <w:sz w:val="18"/>
          <w:szCs w:val="18"/>
        </w:rPr>
        <w:t xml:space="preserve">Locking ring </w:t>
      </w:r>
      <w:r w:rsidRPr="00606098">
        <w:rPr>
          <w:sz w:val="18"/>
          <w:szCs w:val="18"/>
        </w:rPr>
        <w:t>ensure</w:t>
      </w:r>
      <w:r>
        <w:rPr>
          <w:sz w:val="18"/>
          <w:szCs w:val="18"/>
        </w:rPr>
        <w:t>s</w:t>
      </w:r>
      <w:r w:rsidRPr="00606098">
        <w:rPr>
          <w:sz w:val="18"/>
          <w:szCs w:val="18"/>
        </w:rPr>
        <w:t xml:space="preserve"> pedestals are </w:t>
      </w:r>
      <w:r w:rsidR="00737A7A">
        <w:rPr>
          <w:sz w:val="18"/>
          <w:szCs w:val="18"/>
        </w:rPr>
        <w:t>secured</w:t>
      </w:r>
      <w:r w:rsidRPr="00606098">
        <w:rPr>
          <w:sz w:val="18"/>
          <w:szCs w:val="18"/>
        </w:rPr>
        <w:t xml:space="preserve"> at desired height</w:t>
      </w:r>
      <w:r w:rsidR="00192E4E">
        <w:rPr>
          <w:sz w:val="18"/>
          <w:szCs w:val="18"/>
        </w:rPr>
        <w:t>.</w:t>
      </w:r>
    </w:p>
    <w:p w:rsidRPr="0009641C" w:rsidR="0009641C" w:rsidP="00F627C8" w:rsidRDefault="00376F22" w14:paraId="721AD271" w14:textId="77777777">
      <w:pPr>
        <w:pStyle w:val="ListParagraph"/>
        <w:numPr>
          <w:ilvl w:val="0"/>
          <w:numId w:val="1"/>
        </w:numPr>
        <w:rPr>
          <w:b/>
          <w:bCs/>
          <w:sz w:val="18"/>
          <w:szCs w:val="18"/>
        </w:rPr>
      </w:pPr>
      <w:r w:rsidRPr="0009641C">
        <w:rPr>
          <w:sz w:val="18"/>
          <w:szCs w:val="18"/>
        </w:rPr>
        <w:t>S</w:t>
      </w:r>
      <w:r w:rsidRPr="0009641C" w:rsidR="00EF3019">
        <w:rPr>
          <w:sz w:val="18"/>
          <w:szCs w:val="18"/>
        </w:rPr>
        <w:t>crewed columns provide c</w:t>
      </w:r>
      <w:r w:rsidRPr="0009641C" w:rsidR="00EF3019">
        <w:rPr>
          <w:sz w:val="18"/>
          <w:szCs w:val="18"/>
        </w:rPr>
        <w:t>ontinuous incremental height adjustment</w:t>
      </w:r>
      <w:r w:rsidRPr="0009641C" w:rsidR="00307321">
        <w:rPr>
          <w:sz w:val="18"/>
          <w:szCs w:val="18"/>
        </w:rPr>
        <w:t>.</w:t>
      </w:r>
    </w:p>
    <w:p w:rsidR="0009641C" w:rsidP="00F627C8" w:rsidRDefault="00B324AF" w14:paraId="78ABC2CE" w14:textId="1741CEEF">
      <w:pPr>
        <w:pStyle w:val="ListParagraph"/>
        <w:numPr>
          <w:ilvl w:val="0"/>
          <w:numId w:val="1"/>
        </w:numPr>
        <w:rPr>
          <w:b/>
          <w:bCs/>
          <w:sz w:val="18"/>
          <w:szCs w:val="18"/>
        </w:rPr>
      </w:pPr>
      <w:r w:rsidRPr="0009641C">
        <w:rPr>
          <w:sz w:val="18"/>
          <w:szCs w:val="18"/>
        </w:rPr>
        <w:t xml:space="preserve">High load bearing - over </w:t>
      </w:r>
      <w:r w:rsidR="00192E4E">
        <w:rPr>
          <w:sz w:val="18"/>
          <w:szCs w:val="18"/>
        </w:rPr>
        <w:t>21,000</w:t>
      </w:r>
      <w:r w:rsidR="001232E2">
        <w:rPr>
          <w:sz w:val="18"/>
          <w:szCs w:val="18"/>
        </w:rPr>
        <w:t xml:space="preserve"> </w:t>
      </w:r>
      <w:r w:rsidRPr="0009641C">
        <w:rPr>
          <w:sz w:val="18"/>
          <w:szCs w:val="18"/>
        </w:rPr>
        <w:t>lb</w:t>
      </w:r>
      <w:r w:rsidR="001232E2">
        <w:rPr>
          <w:sz w:val="18"/>
          <w:szCs w:val="18"/>
        </w:rPr>
        <w:t>.</w:t>
      </w:r>
      <w:r w:rsidRPr="0009641C" w:rsidR="00595FFB">
        <w:rPr>
          <w:b/>
          <w:bCs/>
          <w:sz w:val="18"/>
          <w:szCs w:val="18"/>
        </w:rPr>
        <w:br/>
      </w:r>
    </w:p>
    <w:p w:rsidRPr="00D74E0F" w:rsidR="00EB15E3" w:rsidP="00B90552" w:rsidRDefault="00EB15E3" w14:paraId="72093A5F" w14:textId="705D5477">
      <w:pPr>
        <w:rPr>
          <w:b/>
          <w:bCs/>
          <w:sz w:val="20"/>
          <w:szCs w:val="20"/>
        </w:rPr>
      </w:pPr>
      <w:r w:rsidRPr="00D74E0F">
        <w:rPr>
          <w:b/>
          <w:bCs/>
          <w:sz w:val="20"/>
          <w:szCs w:val="20"/>
        </w:rPr>
        <w:t>Specifications &amp; Testing</w:t>
      </w:r>
    </w:p>
    <w:tbl>
      <w:tblPr>
        <w:tblStyle w:val="TableGrid"/>
        <w:tblW w:w="0" w:type="auto"/>
        <w:tblInd w:w="735" w:type="dxa"/>
        <w:tblLook w:val="04A0" w:firstRow="1" w:lastRow="0" w:firstColumn="1" w:lastColumn="0" w:noHBand="0" w:noVBand="1"/>
      </w:tblPr>
      <w:tblGrid>
        <w:gridCol w:w="1965"/>
        <w:gridCol w:w="4268"/>
        <w:gridCol w:w="3117"/>
      </w:tblGrid>
      <w:tr w:rsidRPr="00360589" w:rsidR="00EB15E3" w:rsidTr="1F3B15EE" w14:paraId="1EB3F7B1" w14:textId="77777777">
        <w:tc>
          <w:tcPr>
            <w:tcW w:w="1965" w:type="dxa"/>
            <w:tcBorders>
              <w:top w:val="nil"/>
              <w:left w:val="nil"/>
              <w:bottom w:val="single" w:color="auto" w:sz="8" w:space="0"/>
            </w:tcBorders>
            <w:tcMar/>
          </w:tcPr>
          <w:p w:rsidRPr="00360589" w:rsidR="00EB15E3" w:rsidP="0004710E" w:rsidRDefault="00593E74" w14:paraId="4AACC937" w14:textId="669999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Property</w:t>
            </w:r>
          </w:p>
        </w:tc>
        <w:tc>
          <w:tcPr>
            <w:tcW w:w="4268" w:type="dxa"/>
            <w:tcBorders>
              <w:top w:val="nil"/>
              <w:bottom w:val="single" w:color="auto" w:sz="8" w:space="0"/>
            </w:tcBorders>
            <w:tcMar/>
          </w:tcPr>
          <w:p w:rsidRPr="00360589" w:rsidR="00EB15E3" w:rsidP="0004710E" w:rsidRDefault="00593E74" w14:paraId="61B0316C" w14:textId="266A81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Description</w:t>
            </w:r>
          </w:p>
        </w:tc>
        <w:tc>
          <w:tcPr>
            <w:tcW w:w="3117" w:type="dxa"/>
            <w:tcBorders>
              <w:top w:val="nil"/>
              <w:bottom w:val="single" w:color="auto" w:sz="8" w:space="0"/>
              <w:right w:val="nil"/>
            </w:tcBorders>
            <w:tcMar/>
          </w:tcPr>
          <w:p w:rsidRPr="00360589" w:rsidR="00EB15E3" w:rsidP="0004710E" w:rsidRDefault="00593E74" w14:paraId="3F64F266" w14:textId="7638D0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Specification</w:t>
            </w:r>
          </w:p>
        </w:tc>
      </w:tr>
      <w:tr w:rsidRPr="00360589" w:rsidR="00EB15E3" w:rsidTr="1F3B15EE" w14:paraId="65F1A22E" w14:textId="77777777">
        <w:tc>
          <w:tcPr>
            <w:tcW w:w="1965" w:type="dxa"/>
            <w:tcBorders>
              <w:top w:val="single" w:color="auto" w:sz="8" w:space="0"/>
              <w:left w:val="nil"/>
            </w:tcBorders>
            <w:tcMar/>
          </w:tcPr>
          <w:p w:rsidRPr="00360589" w:rsidR="00EB15E3" w:rsidP="0004710E" w:rsidRDefault="00EB15E3" w14:paraId="34EF919C" w14:textId="2A23850F">
            <w:pPr>
              <w:rPr>
                <w:sz w:val="16"/>
                <w:szCs w:val="16"/>
              </w:rPr>
            </w:pPr>
            <w:r w:rsidRPr="00360589">
              <w:rPr>
                <w:sz w:val="16"/>
                <w:szCs w:val="16"/>
              </w:rPr>
              <w:t>Materials</w:t>
            </w:r>
          </w:p>
        </w:tc>
        <w:tc>
          <w:tcPr>
            <w:tcW w:w="4268" w:type="dxa"/>
            <w:tcBorders>
              <w:top w:val="single" w:color="auto" w:sz="8" w:space="0"/>
            </w:tcBorders>
            <w:tcMar/>
          </w:tcPr>
          <w:p w:rsidRPr="00360589" w:rsidR="00EB15E3" w:rsidP="0004710E" w:rsidRDefault="00EB15E3" w14:paraId="65B1E317" w14:textId="17DA0746">
            <w:pPr>
              <w:rPr>
                <w:sz w:val="16"/>
                <w:szCs w:val="16"/>
              </w:rPr>
            </w:pPr>
            <w:r w:rsidRPr="00360589">
              <w:rPr>
                <w:sz w:val="16"/>
                <w:szCs w:val="16"/>
              </w:rPr>
              <w:t>Base &amp; screwed columns</w:t>
            </w:r>
          </w:p>
        </w:tc>
        <w:tc>
          <w:tcPr>
            <w:tcW w:w="3117" w:type="dxa"/>
            <w:tcBorders>
              <w:top w:val="single" w:color="auto" w:sz="8" w:space="0"/>
              <w:right w:val="nil"/>
            </w:tcBorders>
            <w:tcMar/>
          </w:tcPr>
          <w:p w:rsidRPr="00360589" w:rsidR="00EB15E3" w:rsidP="0004710E" w:rsidRDefault="008627BA" w14:paraId="7461C5E4" w14:textId="4EC869B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Mild steel</w:t>
            </w:r>
          </w:p>
        </w:tc>
      </w:tr>
      <w:tr w:rsidRPr="00360589" w:rsidR="00EB15E3" w:rsidTr="1F3B15EE" w14:paraId="7A2C8255" w14:textId="77777777">
        <w:tc>
          <w:tcPr>
            <w:tcW w:w="1965" w:type="dxa"/>
            <w:tcBorders>
              <w:left w:val="nil"/>
            </w:tcBorders>
            <w:tcMar/>
          </w:tcPr>
          <w:p w:rsidRPr="00360589" w:rsidR="00EB15E3" w:rsidP="0004710E" w:rsidRDefault="00EB15E3" w14:paraId="01E79D59" w14:textId="77777777">
            <w:pPr>
              <w:rPr>
                <w:sz w:val="16"/>
                <w:szCs w:val="16"/>
              </w:rPr>
            </w:pPr>
          </w:p>
        </w:tc>
        <w:tc>
          <w:tcPr>
            <w:tcW w:w="4268" w:type="dxa"/>
            <w:tcMar/>
          </w:tcPr>
          <w:p w:rsidRPr="00360589" w:rsidR="00EB15E3" w:rsidP="0004710E" w:rsidRDefault="00EB15E3" w14:paraId="2D8C229E" w14:textId="2EF35DFF">
            <w:pPr>
              <w:rPr>
                <w:sz w:val="16"/>
                <w:szCs w:val="16"/>
              </w:rPr>
            </w:pPr>
            <w:r w:rsidRPr="00360589">
              <w:rPr>
                <w:sz w:val="16"/>
                <w:szCs w:val="16"/>
              </w:rPr>
              <w:t xml:space="preserve">Head </w:t>
            </w:r>
          </w:p>
        </w:tc>
        <w:tc>
          <w:tcPr>
            <w:tcW w:w="3117" w:type="dxa"/>
            <w:tcBorders>
              <w:right w:val="nil"/>
            </w:tcBorders>
            <w:tcMar/>
          </w:tcPr>
          <w:p w:rsidRPr="00360589" w:rsidR="00EB15E3" w:rsidP="0004710E" w:rsidRDefault="00C02013" w14:paraId="7418E595" w14:textId="1DE8B63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Fire resistant polypropylene</w:t>
            </w:r>
          </w:p>
        </w:tc>
      </w:tr>
      <w:tr w:rsidRPr="00360589" w:rsidR="00EB15E3" w:rsidTr="1F3B15EE" w14:paraId="7DE36F6C" w14:textId="77777777">
        <w:tc>
          <w:tcPr>
            <w:tcW w:w="1965" w:type="dxa"/>
            <w:tcBorders>
              <w:left w:val="nil"/>
            </w:tcBorders>
            <w:tcMar/>
          </w:tcPr>
          <w:p w:rsidRPr="00360589" w:rsidR="00EB15E3" w:rsidP="0004710E" w:rsidRDefault="00EB15E3" w14:paraId="1890E4CD" w14:textId="77777777">
            <w:pPr>
              <w:rPr>
                <w:sz w:val="16"/>
                <w:szCs w:val="16"/>
              </w:rPr>
            </w:pPr>
          </w:p>
        </w:tc>
        <w:tc>
          <w:tcPr>
            <w:tcW w:w="4268" w:type="dxa"/>
            <w:tcMar/>
          </w:tcPr>
          <w:p w:rsidRPr="00360589" w:rsidR="00EB15E3" w:rsidP="0004710E" w:rsidRDefault="008627BA" w14:paraId="09A651EF" w14:textId="7A8AA4F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Spacer tabs</w:t>
            </w:r>
            <w:r w:rsidR="00C02013">
              <w:rPr>
                <w:sz w:val="16"/>
                <w:szCs w:val="16"/>
              </w:rPr>
              <w:t xml:space="preserve"> (inbuilt)</w:t>
            </w:r>
          </w:p>
        </w:tc>
        <w:tc>
          <w:tcPr>
            <w:tcW w:w="3117" w:type="dxa"/>
            <w:tcBorders>
              <w:right w:val="nil"/>
            </w:tcBorders>
            <w:tcMar/>
          </w:tcPr>
          <w:p w:rsidRPr="00360589" w:rsidR="00EB15E3" w:rsidP="0004710E" w:rsidRDefault="00FB1471" w14:paraId="4CA1FFE9" w14:textId="306313EC">
            <w:pPr>
              <w:rPr>
                <w:sz w:val="16"/>
                <w:szCs w:val="16"/>
              </w:rPr>
            </w:pPr>
            <w:r w:rsidRPr="00360589">
              <w:rPr>
                <w:sz w:val="16"/>
                <w:szCs w:val="16"/>
              </w:rPr>
              <w:t>½” high</w:t>
            </w:r>
            <w:r w:rsidRPr="00360589" w:rsidR="00BC56DE">
              <w:rPr>
                <w:sz w:val="16"/>
                <w:szCs w:val="16"/>
              </w:rPr>
              <w:t xml:space="preserve"> x </w:t>
            </w:r>
            <w:r w:rsidRPr="00360589" w:rsidR="00BC56DE">
              <w:rPr>
                <w:sz w:val="16"/>
                <w:szCs w:val="16"/>
              </w:rPr>
              <w:t xml:space="preserve">3/16” thick </w:t>
            </w:r>
            <w:r w:rsidRPr="00360589" w:rsidR="00BC56DE">
              <w:rPr>
                <w:sz w:val="16"/>
                <w:szCs w:val="16"/>
              </w:rPr>
              <w:t>(std.)</w:t>
            </w:r>
          </w:p>
        </w:tc>
      </w:tr>
      <w:tr w:rsidRPr="00360589" w:rsidR="00EB15E3" w:rsidTr="1F3B15EE" w14:paraId="71B7DC0B" w14:textId="77777777">
        <w:tc>
          <w:tcPr>
            <w:tcW w:w="1965" w:type="dxa"/>
            <w:tcBorders>
              <w:left w:val="nil"/>
            </w:tcBorders>
            <w:tcMar/>
          </w:tcPr>
          <w:p w:rsidRPr="00360589" w:rsidR="00EB15E3" w:rsidP="0004710E" w:rsidRDefault="00FB1471" w14:paraId="19368403" w14:textId="0E6C8CF0">
            <w:pPr>
              <w:rPr>
                <w:sz w:val="16"/>
                <w:szCs w:val="16"/>
              </w:rPr>
            </w:pPr>
            <w:r w:rsidRPr="00360589">
              <w:rPr>
                <w:sz w:val="16"/>
                <w:szCs w:val="16"/>
              </w:rPr>
              <w:t>Base</w:t>
            </w:r>
          </w:p>
        </w:tc>
        <w:tc>
          <w:tcPr>
            <w:tcW w:w="4268" w:type="dxa"/>
            <w:tcMar/>
          </w:tcPr>
          <w:p w:rsidRPr="00360589" w:rsidR="00EB15E3" w:rsidP="0004710E" w:rsidRDefault="00DF3FA9" w14:paraId="5B7331A4" w14:textId="1B4E893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Square with rounded corners</w:t>
            </w:r>
          </w:p>
        </w:tc>
        <w:tc>
          <w:tcPr>
            <w:tcW w:w="3117" w:type="dxa"/>
            <w:tcBorders>
              <w:right w:val="nil"/>
            </w:tcBorders>
            <w:tcMar/>
          </w:tcPr>
          <w:p w:rsidRPr="00360589" w:rsidR="00EB15E3" w:rsidP="0004710E" w:rsidRDefault="00315AD0" w14:paraId="6D445683" w14:textId="39B59E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4” </w:t>
            </w:r>
            <w:r w:rsidR="002D3918">
              <w:rPr>
                <w:sz w:val="16"/>
                <w:szCs w:val="16"/>
              </w:rPr>
              <w:t>x 4”</w:t>
            </w:r>
          </w:p>
        </w:tc>
      </w:tr>
      <w:tr w:rsidRPr="00360589" w:rsidR="00EB15E3" w:rsidTr="1F3B15EE" w14:paraId="7F855A12" w14:textId="77777777">
        <w:tc>
          <w:tcPr>
            <w:tcW w:w="1965" w:type="dxa"/>
            <w:tcBorders>
              <w:left w:val="nil"/>
            </w:tcBorders>
            <w:tcMar/>
          </w:tcPr>
          <w:p w:rsidRPr="00360589" w:rsidR="00EB15E3" w:rsidP="00FB1471" w:rsidRDefault="00FB1471" w14:paraId="358186F6" w14:textId="22665367">
            <w:pPr>
              <w:rPr>
                <w:sz w:val="16"/>
                <w:szCs w:val="16"/>
              </w:rPr>
            </w:pPr>
            <w:r w:rsidRPr="00360589">
              <w:rPr>
                <w:sz w:val="16"/>
                <w:szCs w:val="16"/>
              </w:rPr>
              <w:t>Central column</w:t>
            </w:r>
          </w:p>
        </w:tc>
        <w:tc>
          <w:tcPr>
            <w:tcW w:w="4268" w:type="dxa"/>
            <w:tcMar/>
          </w:tcPr>
          <w:p w:rsidRPr="00360589" w:rsidR="00EB15E3" w:rsidP="0004710E" w:rsidRDefault="002D3918" w14:paraId="452353AC" w14:textId="277F95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Pr="00360589" w:rsidR="00FB1471">
              <w:rPr>
                <w:sz w:val="16"/>
                <w:szCs w:val="16"/>
              </w:rPr>
              <w:t xml:space="preserve">crewed with </w:t>
            </w:r>
            <w:r>
              <w:rPr>
                <w:sz w:val="16"/>
                <w:szCs w:val="16"/>
              </w:rPr>
              <w:t xml:space="preserve">locking </w:t>
            </w:r>
            <w:r w:rsidRPr="00360589" w:rsidR="00FB1471">
              <w:rPr>
                <w:sz w:val="16"/>
                <w:szCs w:val="16"/>
              </w:rPr>
              <w:t>ring</w:t>
            </w:r>
          </w:p>
        </w:tc>
        <w:tc>
          <w:tcPr>
            <w:tcW w:w="3117" w:type="dxa"/>
            <w:tcBorders>
              <w:right w:val="nil"/>
            </w:tcBorders>
            <w:tcMar/>
          </w:tcPr>
          <w:p w:rsidRPr="00360589" w:rsidR="00EB15E3" w:rsidP="00FB1471" w:rsidRDefault="002D3918" w14:paraId="774DD22F" w14:textId="472F37B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124AB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mm t</w:t>
            </w:r>
            <w:r w:rsidR="002122E5">
              <w:rPr>
                <w:sz w:val="16"/>
                <w:szCs w:val="16"/>
              </w:rPr>
              <w:t xml:space="preserve">hick </w:t>
            </w:r>
            <w:r>
              <w:rPr>
                <w:sz w:val="16"/>
                <w:szCs w:val="16"/>
              </w:rPr>
              <w:t>steel</w:t>
            </w:r>
          </w:p>
        </w:tc>
      </w:tr>
      <w:tr w:rsidRPr="00360589" w:rsidR="00216945" w:rsidTr="1F3B15EE" w14:paraId="64CD8182" w14:textId="77777777">
        <w:tc>
          <w:tcPr>
            <w:tcW w:w="1965" w:type="dxa"/>
            <w:tcBorders>
              <w:left w:val="nil"/>
            </w:tcBorders>
            <w:tcMar/>
          </w:tcPr>
          <w:p w:rsidRPr="00360589" w:rsidR="00216945" w:rsidP="0004710E" w:rsidRDefault="00216945" w14:paraId="0B37308D" w14:textId="1878AC2F">
            <w:pPr>
              <w:rPr>
                <w:sz w:val="16"/>
                <w:szCs w:val="16"/>
              </w:rPr>
            </w:pPr>
            <w:r w:rsidRPr="00360589">
              <w:rPr>
                <w:sz w:val="16"/>
                <w:szCs w:val="16"/>
              </w:rPr>
              <w:t>Head</w:t>
            </w:r>
          </w:p>
        </w:tc>
        <w:tc>
          <w:tcPr>
            <w:tcW w:w="4268" w:type="dxa"/>
            <w:tcMar/>
          </w:tcPr>
          <w:p w:rsidRPr="00360589" w:rsidR="00216945" w:rsidP="0004710E" w:rsidRDefault="00216945" w14:paraId="5F4E43F3" w14:textId="0C3C6F91">
            <w:pPr>
              <w:rPr>
                <w:sz w:val="16"/>
                <w:szCs w:val="16"/>
              </w:rPr>
            </w:pPr>
          </w:p>
        </w:tc>
        <w:tc>
          <w:tcPr>
            <w:tcW w:w="3117" w:type="dxa"/>
            <w:tcBorders>
              <w:right w:val="nil"/>
            </w:tcBorders>
            <w:tcMar/>
          </w:tcPr>
          <w:p w:rsidRPr="00360589" w:rsidR="00216945" w:rsidP="0004710E" w:rsidRDefault="001A36DB" w14:paraId="589199FE" w14:textId="3659FB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½”</w:t>
            </w:r>
            <w:r w:rsidRPr="00360589" w:rsidR="00216945">
              <w:rPr>
                <w:sz w:val="16"/>
                <w:szCs w:val="16"/>
              </w:rPr>
              <w:t xml:space="preserve"> dia.</w:t>
            </w:r>
          </w:p>
        </w:tc>
      </w:tr>
      <w:tr w:rsidRPr="00360589" w:rsidR="00EB15E3" w:rsidTr="1F3B15EE" w14:paraId="6FA71085" w14:textId="77777777">
        <w:tc>
          <w:tcPr>
            <w:tcW w:w="1965" w:type="dxa"/>
            <w:tcBorders>
              <w:left w:val="nil"/>
            </w:tcBorders>
            <w:tcMar/>
          </w:tcPr>
          <w:p w:rsidRPr="00360589" w:rsidR="00EB15E3" w:rsidP="0004710E" w:rsidRDefault="00195EC6" w14:paraId="39DD4E43" w14:textId="670387BE">
            <w:pPr>
              <w:rPr>
                <w:sz w:val="16"/>
                <w:szCs w:val="16"/>
              </w:rPr>
            </w:pPr>
            <w:r w:rsidRPr="00360589">
              <w:rPr>
                <w:sz w:val="16"/>
                <w:szCs w:val="16"/>
              </w:rPr>
              <w:t>Height range</w:t>
            </w:r>
          </w:p>
        </w:tc>
        <w:tc>
          <w:tcPr>
            <w:tcW w:w="4268" w:type="dxa"/>
            <w:tcMar/>
          </w:tcPr>
          <w:p w:rsidRPr="00360589" w:rsidR="00EB15E3" w:rsidP="0004710E" w:rsidRDefault="00195EC6" w14:paraId="7A104591" w14:textId="1FD2113F">
            <w:pPr>
              <w:rPr>
                <w:sz w:val="16"/>
                <w:szCs w:val="16"/>
              </w:rPr>
            </w:pPr>
            <w:r w:rsidRPr="00360589">
              <w:rPr>
                <w:sz w:val="16"/>
                <w:szCs w:val="16"/>
              </w:rPr>
              <w:t>Continuous incremental adjustment</w:t>
            </w:r>
          </w:p>
        </w:tc>
        <w:tc>
          <w:tcPr>
            <w:tcW w:w="3117" w:type="dxa"/>
            <w:tcBorders>
              <w:right w:val="nil"/>
            </w:tcBorders>
            <w:tcMar/>
          </w:tcPr>
          <w:p w:rsidRPr="00360589" w:rsidR="00195EC6" w:rsidP="00B25D07" w:rsidRDefault="00195EC6" w14:paraId="5D49B4B9" w14:textId="2BB52DD0">
            <w:pPr>
              <w:rPr>
                <w:sz w:val="16"/>
                <w:szCs w:val="16"/>
              </w:rPr>
            </w:pPr>
            <w:r w:rsidRPr="00360589">
              <w:rPr>
                <w:sz w:val="16"/>
                <w:szCs w:val="16"/>
              </w:rPr>
              <w:t>1</w:t>
            </w:r>
            <w:r w:rsidR="002122E5">
              <w:rPr>
                <w:sz w:val="16"/>
                <w:szCs w:val="16"/>
              </w:rPr>
              <w:t>”</w:t>
            </w:r>
            <w:r w:rsidR="00B25D07">
              <w:rPr>
                <w:sz w:val="16"/>
                <w:szCs w:val="16"/>
              </w:rPr>
              <w:t xml:space="preserve"> </w:t>
            </w:r>
            <w:r w:rsidRPr="00360589">
              <w:rPr>
                <w:sz w:val="16"/>
                <w:szCs w:val="16"/>
              </w:rPr>
              <w:t xml:space="preserve">- </w:t>
            </w:r>
            <w:r w:rsidR="00B25D07">
              <w:rPr>
                <w:sz w:val="16"/>
                <w:szCs w:val="16"/>
              </w:rPr>
              <w:t>19 ¼”</w:t>
            </w:r>
          </w:p>
        </w:tc>
      </w:tr>
      <w:tr w:rsidRPr="00360589" w:rsidR="00EB15E3" w:rsidTr="1F3B15EE" w14:paraId="26B7909B" w14:textId="77777777">
        <w:tc>
          <w:tcPr>
            <w:tcW w:w="1965" w:type="dxa"/>
            <w:tcBorders>
              <w:left w:val="nil"/>
            </w:tcBorders>
            <w:tcMar/>
          </w:tcPr>
          <w:p w:rsidRPr="00360589" w:rsidR="00EB15E3" w:rsidP="0004710E" w:rsidRDefault="00195EC6" w14:paraId="7731AD0F" w14:textId="372439D7">
            <w:pPr>
              <w:rPr>
                <w:sz w:val="16"/>
                <w:szCs w:val="16"/>
              </w:rPr>
            </w:pPr>
            <w:r w:rsidRPr="00360589">
              <w:rPr>
                <w:sz w:val="16"/>
                <w:szCs w:val="16"/>
              </w:rPr>
              <w:t xml:space="preserve">Max. compressive load </w:t>
            </w:r>
          </w:p>
        </w:tc>
        <w:tc>
          <w:tcPr>
            <w:tcW w:w="4268" w:type="dxa"/>
            <w:tcMar/>
          </w:tcPr>
          <w:p w:rsidRPr="00360589" w:rsidR="00EB15E3" w:rsidP="0004710E" w:rsidRDefault="00EB15E3" w14:paraId="47C90445" w14:textId="77777777">
            <w:pPr>
              <w:rPr>
                <w:sz w:val="16"/>
                <w:szCs w:val="16"/>
              </w:rPr>
            </w:pPr>
          </w:p>
        </w:tc>
        <w:tc>
          <w:tcPr>
            <w:tcW w:w="3117" w:type="dxa"/>
            <w:tcBorders>
              <w:right w:val="nil"/>
            </w:tcBorders>
            <w:tcMar/>
          </w:tcPr>
          <w:p w:rsidRPr="00360589" w:rsidR="00195EC6" w:rsidP="0004710E" w:rsidRDefault="003311A0" w14:paraId="05B5B398" w14:textId="545066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Over 21,000lb.</w:t>
            </w:r>
          </w:p>
        </w:tc>
      </w:tr>
      <w:tr w:rsidRPr="00360589" w:rsidR="009E1155" w:rsidTr="1F3B15EE" w14:paraId="3E5BFBD3" w14:textId="77777777">
        <w:tc>
          <w:tcPr>
            <w:tcW w:w="1965" w:type="dxa"/>
            <w:tcBorders>
              <w:left w:val="nil"/>
            </w:tcBorders>
            <w:tcMar/>
          </w:tcPr>
          <w:p w:rsidRPr="00360589" w:rsidR="009E1155" w:rsidP="009E1155" w:rsidRDefault="009E1155" w14:paraId="47625476" w14:textId="7A0BA1D8">
            <w:pPr>
              <w:rPr>
                <w:sz w:val="16"/>
                <w:szCs w:val="16"/>
              </w:rPr>
            </w:pPr>
            <w:r w:rsidRPr="00744F2E">
              <w:rPr>
                <w:sz w:val="16"/>
                <w:szCs w:val="16"/>
              </w:rPr>
              <w:t xml:space="preserve">ASTM </w:t>
            </w:r>
            <w:r w:rsidR="00B25D07">
              <w:rPr>
                <w:sz w:val="16"/>
                <w:szCs w:val="16"/>
              </w:rPr>
              <w:t>E</w:t>
            </w:r>
            <w:r w:rsidRPr="00744F2E">
              <w:rPr>
                <w:sz w:val="16"/>
                <w:szCs w:val="16"/>
              </w:rPr>
              <w:t>1</w:t>
            </w:r>
            <w:r w:rsidR="00B25D07">
              <w:rPr>
                <w:sz w:val="16"/>
                <w:szCs w:val="16"/>
              </w:rPr>
              <w:t>36</w:t>
            </w:r>
          </w:p>
        </w:tc>
        <w:tc>
          <w:tcPr>
            <w:tcW w:w="4268" w:type="dxa"/>
            <w:tcMar/>
          </w:tcPr>
          <w:p w:rsidRPr="00360589" w:rsidR="009E1155" w:rsidP="007F182C" w:rsidRDefault="00B25D07" w14:paraId="224EFC60" w14:textId="14BC55E2">
            <w:pPr>
              <w:rPr>
                <w:sz w:val="16"/>
                <w:szCs w:val="16"/>
              </w:rPr>
            </w:pPr>
            <w:r w:rsidRPr="00E65D32">
              <w:rPr>
                <w:sz w:val="18"/>
                <w:szCs w:val="18"/>
              </w:rPr>
              <w:t>Combustibility at 750</w:t>
            </w:r>
            <w:r>
              <w:rPr>
                <w:sz w:val="18"/>
                <w:szCs w:val="18"/>
              </w:rPr>
              <w:t>°</w:t>
            </w:r>
            <w:r w:rsidRPr="00E65D32">
              <w:rPr>
                <w:sz w:val="18"/>
                <w:szCs w:val="18"/>
              </w:rPr>
              <w:t>C</w:t>
            </w:r>
          </w:p>
        </w:tc>
        <w:tc>
          <w:tcPr>
            <w:tcW w:w="3117" w:type="dxa"/>
            <w:tcBorders>
              <w:right w:val="nil"/>
            </w:tcBorders>
            <w:tcMar/>
          </w:tcPr>
          <w:p w:rsidRPr="00360589" w:rsidR="009E1155" w:rsidP="009E1155" w:rsidRDefault="00192E4E" w14:paraId="4B34A99E" w14:textId="6F487BED">
            <w:pPr>
              <w:rPr>
                <w:sz w:val="16"/>
                <w:szCs w:val="16"/>
              </w:rPr>
            </w:pPr>
            <w:r w:rsidRPr="1F3B15EE" w:rsidR="00192E4E">
              <w:rPr>
                <w:sz w:val="16"/>
                <w:szCs w:val="16"/>
              </w:rPr>
              <w:t>Pass</w:t>
            </w:r>
            <w:r w:rsidRPr="1F3B15EE" w:rsidR="7F6ECFC1">
              <w:rPr>
                <w:sz w:val="16"/>
                <w:szCs w:val="16"/>
              </w:rPr>
              <w:t xml:space="preserve"> – Mild Steel</w:t>
            </w:r>
          </w:p>
        </w:tc>
      </w:tr>
      <w:tr w:rsidRPr="00360589" w:rsidR="00195EC6" w:rsidTr="1F3B15EE" w14:paraId="5BF0FEF2" w14:textId="77777777">
        <w:tc>
          <w:tcPr>
            <w:tcW w:w="1965" w:type="dxa"/>
            <w:tcBorders>
              <w:left w:val="nil"/>
            </w:tcBorders>
            <w:tcMar/>
          </w:tcPr>
          <w:p w:rsidRPr="00360589" w:rsidR="00195EC6" w:rsidP="0004710E" w:rsidRDefault="00AB0B5E" w14:paraId="1CC65D76" w14:textId="374FE3C4">
            <w:pPr>
              <w:rPr>
                <w:sz w:val="16"/>
                <w:szCs w:val="16"/>
              </w:rPr>
            </w:pPr>
            <w:r w:rsidRPr="00360589">
              <w:rPr>
                <w:sz w:val="16"/>
                <w:szCs w:val="16"/>
              </w:rPr>
              <w:t>Warranty</w:t>
            </w:r>
          </w:p>
        </w:tc>
        <w:tc>
          <w:tcPr>
            <w:tcW w:w="4268" w:type="dxa"/>
            <w:tcMar/>
          </w:tcPr>
          <w:p w:rsidRPr="00360589" w:rsidR="00195EC6" w:rsidP="0004710E" w:rsidRDefault="00195EC6" w14:paraId="00FC3D2E" w14:textId="77777777">
            <w:pPr>
              <w:rPr>
                <w:sz w:val="16"/>
                <w:szCs w:val="16"/>
              </w:rPr>
            </w:pPr>
          </w:p>
        </w:tc>
        <w:tc>
          <w:tcPr>
            <w:tcW w:w="3117" w:type="dxa"/>
            <w:tcBorders>
              <w:right w:val="nil"/>
            </w:tcBorders>
            <w:tcMar/>
          </w:tcPr>
          <w:p w:rsidRPr="00360589" w:rsidR="00195EC6" w:rsidP="0004710E" w:rsidRDefault="00AB0B5E" w14:paraId="67C3C1DC" w14:textId="20C24522">
            <w:pPr>
              <w:rPr>
                <w:sz w:val="16"/>
                <w:szCs w:val="16"/>
              </w:rPr>
            </w:pPr>
            <w:r w:rsidRPr="00360589">
              <w:rPr>
                <w:sz w:val="16"/>
                <w:szCs w:val="16"/>
              </w:rPr>
              <w:t>3 years</w:t>
            </w:r>
          </w:p>
        </w:tc>
      </w:tr>
    </w:tbl>
    <w:p w:rsidR="00EB15E3" w:rsidP="0004710E" w:rsidRDefault="00EB15E3" w14:paraId="1E72CF51" w14:textId="77777777">
      <w:pPr>
        <w:rPr>
          <w:sz w:val="18"/>
          <w:szCs w:val="18"/>
        </w:rPr>
      </w:pPr>
    </w:p>
    <w:p w:rsidRPr="00D74E0F" w:rsidR="00E80AFB" w:rsidP="00734A22" w:rsidRDefault="00B90552" w14:paraId="01ABFB71" w14:textId="40D8546D">
      <w:pPr>
        <w:rPr>
          <w:b/>
          <w:bCs/>
          <w:sz w:val="20"/>
          <w:szCs w:val="20"/>
        </w:rPr>
      </w:pPr>
      <w:r w:rsidRPr="00D74E0F">
        <w:rPr>
          <w:b/>
          <w:bCs/>
          <w:sz w:val="20"/>
          <w:szCs w:val="20"/>
        </w:rPr>
        <w:t>Heigh</w:t>
      </w:r>
      <w:r w:rsidR="00D74E0F">
        <w:rPr>
          <w:b/>
          <w:bCs/>
          <w:sz w:val="20"/>
          <w:szCs w:val="20"/>
        </w:rPr>
        <w:t>t</w:t>
      </w:r>
      <w:r w:rsidRPr="00D74E0F">
        <w:rPr>
          <w:b/>
          <w:bCs/>
          <w:sz w:val="20"/>
          <w:szCs w:val="20"/>
        </w:rPr>
        <w:t xml:space="preserve"> Progression</w:t>
      </w:r>
    </w:p>
    <w:p w:rsidR="00B90552" w:rsidP="00734A22" w:rsidRDefault="00B90552" w14:paraId="313C9716" w14:textId="5F6E0164">
      <w:pPr>
        <w:rPr>
          <w:b/>
          <w:bCs/>
          <w:sz w:val="18"/>
          <w:szCs w:val="18"/>
        </w:rPr>
      </w:pPr>
      <w:r w:rsidR="00B90552">
        <w:drawing>
          <wp:inline wp14:editId="09792C61" wp14:anchorId="1A3839EA">
            <wp:extent cx="5753098" cy="1497914"/>
            <wp:effectExtent l="0" t="0" r="0" b="6350"/>
            <wp:docPr id="851404327" name="Picture 9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9"/>
                    <pic:cNvPicPr/>
                  </pic:nvPicPr>
                  <pic:blipFill>
                    <a:blip r:embed="R54d0513cbc954572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753098" cy="1497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061D" w:rsidP="00734A22" w:rsidRDefault="009A061D" w14:paraId="050D49C3" w14:textId="77777777">
      <w:pPr>
        <w:rPr>
          <w:b/>
          <w:bCs/>
          <w:sz w:val="18"/>
          <w:szCs w:val="18"/>
        </w:rPr>
      </w:pPr>
    </w:p>
    <w:p w:rsidR="00B90552" w:rsidP="00734A22" w:rsidRDefault="00B90552" w14:paraId="707345E0" w14:textId="42C10834">
      <w:pPr>
        <w:rPr>
          <w:b/>
          <w:bCs/>
          <w:sz w:val="18"/>
          <w:szCs w:val="18"/>
        </w:rPr>
      </w:pPr>
      <w:r>
        <w:rPr>
          <w:b/>
          <w:bCs/>
          <w:noProof/>
          <w:sz w:val="18"/>
          <w:szCs w:val="18"/>
        </w:rPr>
        <w:drawing>
          <wp:inline distT="0" distB="0" distL="0" distR="0" wp14:anchorId="0264792D" wp14:editId="0B70B5FF">
            <wp:extent cx="6306620" cy="2222500"/>
            <wp:effectExtent l="0" t="0" r="0" b="6350"/>
            <wp:docPr id="161885043" name="Picture 10" descr="A group of black metal par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85043" name="Picture 10" descr="A group of black metal parts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9224" cy="2248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32E2" w:rsidP="0004710E" w:rsidRDefault="001232E2" w14:paraId="0A843EA3" w14:textId="77777777">
      <w:pPr>
        <w:rPr>
          <w:b/>
          <w:bCs/>
          <w:sz w:val="18"/>
          <w:szCs w:val="18"/>
        </w:rPr>
      </w:pPr>
    </w:p>
    <w:p w:rsidRPr="006B58F3" w:rsidR="00FF750D" w:rsidP="0004710E" w:rsidRDefault="006B58F3" w14:paraId="755D1921" w14:textId="5D19B379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br/>
      </w:r>
      <w:r w:rsidRPr="006B58F3" w:rsidR="00C12897">
        <w:rPr>
          <w:b/>
          <w:bCs/>
          <w:sz w:val="20"/>
          <w:szCs w:val="20"/>
        </w:rPr>
        <w:t>Installation Guide</w:t>
      </w:r>
    </w:p>
    <w:p w:rsidR="00806A2E" w:rsidP="0004710E" w:rsidRDefault="0040098F" w14:paraId="08B69C75" w14:textId="714D9DF1">
      <w:pPr>
        <w:rPr>
          <w:b/>
          <w:bCs/>
          <w:sz w:val="18"/>
          <w:szCs w:val="18"/>
        </w:rPr>
      </w:pPr>
      <w:r>
        <w:rPr>
          <w:b/>
          <w:bCs/>
          <w:noProof/>
          <w:sz w:val="18"/>
          <w:szCs w:val="18"/>
        </w:rPr>
        <w:drawing>
          <wp:anchor distT="0" distB="0" distL="114300" distR="114300" simplePos="0" relativeHeight="251684864" behindDoc="1" locked="0" layoutInCell="1" allowOverlap="1" wp14:anchorId="6E683168" wp14:editId="6E9B3A12">
            <wp:simplePos x="0" y="0"/>
            <wp:positionH relativeFrom="margin">
              <wp:align>left</wp:align>
            </wp:positionH>
            <wp:positionV relativeFrom="paragraph">
              <wp:posOffset>71755</wp:posOffset>
            </wp:positionV>
            <wp:extent cx="2025500" cy="2330450"/>
            <wp:effectExtent l="0" t="0" r="0" b="0"/>
            <wp:wrapTight wrapText="bothSides">
              <wp:wrapPolygon edited="0">
                <wp:start x="0" y="0"/>
                <wp:lineTo x="0" y="21365"/>
                <wp:lineTo x="21336" y="21365"/>
                <wp:lineTo x="21336" y="0"/>
                <wp:lineTo x="0" y="0"/>
              </wp:wrapPolygon>
            </wp:wrapTight>
            <wp:docPr id="4954516" name="Picture 8" descr="A black metal base with a screw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54516" name="Picture 8" descr="A black metal base with a screw&#10;&#10;Description automatically generated with medium confidenc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5500" cy="2330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71BF6" w:rsidP="009A1BBF" w:rsidRDefault="00186086" w14:paraId="7999D36E" w14:textId="706E57B1">
      <w:pPr>
        <w:pStyle w:val="ListParagraph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>Snap on polypropylene head cap</w:t>
      </w:r>
      <w:r w:rsidRPr="00871BF6" w:rsidR="00B13C2A">
        <w:rPr>
          <w:sz w:val="18"/>
          <w:szCs w:val="18"/>
        </w:rPr>
        <w:t>.</w:t>
      </w:r>
      <w:r w:rsidR="000251A9">
        <w:rPr>
          <w:sz w:val="18"/>
          <w:szCs w:val="18"/>
        </w:rPr>
        <w:t xml:space="preserve"> Cut off excess spacer tabs as needed</w:t>
      </w:r>
      <w:r w:rsidR="00FF603B">
        <w:rPr>
          <w:sz w:val="18"/>
          <w:szCs w:val="18"/>
        </w:rPr>
        <w:t>.</w:t>
      </w:r>
    </w:p>
    <w:p w:rsidR="00871BF6" w:rsidP="00871BF6" w:rsidRDefault="00871BF6" w14:paraId="4A68EEE7" w14:textId="3DCDA9ED">
      <w:pPr>
        <w:pStyle w:val="ListParagraph"/>
        <w:ind w:left="2520"/>
        <w:rPr>
          <w:sz w:val="18"/>
          <w:szCs w:val="18"/>
        </w:rPr>
      </w:pPr>
    </w:p>
    <w:p w:rsidRPr="00871BF6" w:rsidR="00C12897" w:rsidP="009A1BBF" w:rsidRDefault="00785351" w14:paraId="65E6A184" w14:textId="54270973">
      <w:pPr>
        <w:pStyle w:val="ListParagraph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>Head fitted with</w:t>
      </w:r>
      <w:r w:rsidR="00BA5B9D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tapped </w:t>
      </w:r>
      <w:r w:rsidR="00BA5B9D">
        <w:rPr>
          <w:sz w:val="18"/>
          <w:szCs w:val="18"/>
        </w:rPr>
        <w:t>hole for Archatrak wind uplift mitigation system</w:t>
      </w:r>
      <w:r w:rsidR="00FF603B">
        <w:rPr>
          <w:sz w:val="18"/>
          <w:szCs w:val="18"/>
        </w:rPr>
        <w:t>.</w:t>
      </w:r>
    </w:p>
    <w:p w:rsidR="002C4F06" w:rsidP="00045257" w:rsidRDefault="002C4F06" w14:paraId="2F7962D5" w14:textId="2E01F373">
      <w:pPr>
        <w:pStyle w:val="ListParagraph"/>
        <w:ind w:left="2520"/>
        <w:rPr>
          <w:sz w:val="18"/>
          <w:szCs w:val="18"/>
        </w:rPr>
      </w:pPr>
    </w:p>
    <w:p w:rsidRPr="00045257" w:rsidR="00045257" w:rsidP="00EF3B96" w:rsidRDefault="00A71034" w14:paraId="52332973" w14:textId="29068E2E">
      <w:pPr>
        <w:pStyle w:val="ListParagraph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>Rotate column to adjust height.</w:t>
      </w:r>
      <w:r w:rsidR="00B00F82">
        <w:rPr>
          <w:sz w:val="18"/>
          <w:szCs w:val="18"/>
        </w:rPr>
        <w:t xml:space="preserve"> DO NOT overextend.</w:t>
      </w:r>
    </w:p>
    <w:p w:rsidRPr="00045257" w:rsidR="00045257" w:rsidP="00045257" w:rsidRDefault="00045257" w14:paraId="1A1C7EA4" w14:textId="598E3080">
      <w:pPr>
        <w:pStyle w:val="ListParagraph"/>
        <w:ind w:left="2520"/>
        <w:rPr>
          <w:sz w:val="18"/>
          <w:szCs w:val="18"/>
        </w:rPr>
      </w:pPr>
    </w:p>
    <w:p w:rsidR="00337F17" w:rsidP="000000E7" w:rsidRDefault="00B00F82" w14:paraId="3DFEF88C" w14:textId="5FB2FBAF">
      <w:pPr>
        <w:pStyle w:val="ListParagraph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>Tighten locking ring when desired height has been</w:t>
      </w:r>
      <w:bookmarkStart w:name="_Hlk162001388" w:id="0"/>
      <w:r w:rsidR="00FF603B">
        <w:rPr>
          <w:sz w:val="18"/>
          <w:szCs w:val="18"/>
        </w:rPr>
        <w:t xml:space="preserve"> set</w:t>
      </w:r>
      <w:r w:rsidR="00F51516">
        <w:rPr>
          <w:sz w:val="18"/>
          <w:szCs w:val="18"/>
        </w:rPr>
        <w:t>.</w:t>
      </w:r>
      <w:bookmarkEnd w:id="0"/>
      <w:r w:rsidRPr="0046126C" w:rsidR="00DE65AC">
        <w:rPr>
          <w:sz w:val="18"/>
          <w:szCs w:val="18"/>
        </w:rPr>
        <w:t xml:space="preserve"> </w:t>
      </w:r>
    </w:p>
    <w:p w:rsidRPr="005C28B7" w:rsidR="00DE65AC" w:rsidP="00DE65AC" w:rsidRDefault="00DE65AC" w14:paraId="4FD343FC" w14:textId="234163F6">
      <w:pPr>
        <w:pStyle w:val="ListParagraph"/>
        <w:ind w:left="2520"/>
        <w:rPr>
          <w:sz w:val="18"/>
          <w:szCs w:val="18"/>
        </w:rPr>
      </w:pPr>
    </w:p>
    <w:p w:rsidRPr="005734BF" w:rsidR="00DB1151" w:rsidP="005734BF" w:rsidRDefault="004F0044" w14:paraId="4953FE12" w14:textId="055E93F0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5734BF">
        <w:rPr>
          <w:sz w:val="18"/>
          <w:szCs w:val="18"/>
        </w:rPr>
        <w:t xml:space="preserve">Install buffer pads under </w:t>
      </w:r>
      <w:r w:rsidRPr="005734BF" w:rsidR="005734BF">
        <w:rPr>
          <w:sz w:val="18"/>
          <w:szCs w:val="18"/>
        </w:rPr>
        <w:t xml:space="preserve">base </w:t>
      </w:r>
      <w:r w:rsidR="005734BF">
        <w:rPr>
          <w:sz w:val="18"/>
          <w:szCs w:val="18"/>
        </w:rPr>
        <w:t>of pedestal if needed</w:t>
      </w:r>
      <w:r w:rsidR="00FA3331">
        <w:rPr>
          <w:sz w:val="18"/>
          <w:szCs w:val="18"/>
        </w:rPr>
        <w:t xml:space="preserve"> or specified.</w:t>
      </w:r>
    </w:p>
    <w:p w:rsidR="00FF603B" w:rsidP="0004710E" w:rsidRDefault="00FF603B" w14:paraId="5251E2B6" w14:textId="2FBA2CBB">
      <w:pPr>
        <w:rPr>
          <w:sz w:val="18"/>
          <w:szCs w:val="18"/>
        </w:rPr>
      </w:pPr>
    </w:p>
    <w:p w:rsidR="00FF603B" w:rsidP="0004710E" w:rsidRDefault="00FF603B" w14:paraId="25491239" w14:textId="72E76D4D">
      <w:pPr>
        <w:rPr>
          <w:sz w:val="18"/>
          <w:szCs w:val="18"/>
        </w:rPr>
      </w:pPr>
    </w:p>
    <w:p w:rsidR="00FF603B" w:rsidP="0004710E" w:rsidRDefault="00FF603B" w14:paraId="44CD0984" w14:textId="1DAEEC5F">
      <w:pPr>
        <w:rPr>
          <w:sz w:val="18"/>
          <w:szCs w:val="18"/>
        </w:rPr>
      </w:pPr>
    </w:p>
    <w:p w:rsidRPr="008F3B2D" w:rsidR="008D3BC6" w:rsidP="008D3BC6" w:rsidRDefault="00FA3331" w14:paraId="64555371" w14:textId="08024646">
      <w:pPr>
        <w:rPr>
          <w:b/>
          <w:bCs/>
          <w:noProof/>
          <w:sz w:val="20"/>
          <w:szCs w:val="20"/>
        </w:rPr>
      </w:pPr>
      <w:r>
        <w:rPr>
          <w:b/>
          <w:bCs/>
          <w:noProof/>
          <w:sz w:val="20"/>
          <w:szCs w:val="20"/>
        </w:rPr>
        <w:br/>
      </w:r>
      <w:r w:rsidRPr="00D74E0F" w:rsidR="000115A9">
        <w:rPr>
          <w:b/>
          <w:bCs/>
          <w:noProof/>
          <w:sz w:val="20"/>
          <w:szCs w:val="20"/>
        </w:rPr>
        <w:t>Wind Uplift Mitigation</w:t>
      </w:r>
      <w:r w:rsidRPr="00D74E0F" w:rsidR="006F7589">
        <w:rPr>
          <w:b/>
          <w:bCs/>
          <w:noProof/>
          <w:sz w:val="20"/>
          <w:szCs w:val="20"/>
        </w:rPr>
        <w:t xml:space="preserve"> System</w:t>
      </w:r>
      <w:r w:rsidRPr="00D74E0F" w:rsidR="00F832AA">
        <w:rPr>
          <w:b/>
          <w:bCs/>
          <w:noProof/>
          <w:sz w:val="20"/>
          <w:szCs w:val="20"/>
        </w:rPr>
        <w:t xml:space="preserve"> for Porcelain Pavers</w:t>
      </w:r>
      <w:r w:rsidR="008F3B2D">
        <w:rPr>
          <w:b/>
          <w:bCs/>
          <w:noProof/>
          <w:sz w:val="20"/>
          <w:szCs w:val="20"/>
        </w:rPr>
        <w:br/>
      </w:r>
      <w:r w:rsidR="00AB2B4A">
        <w:rPr>
          <w:b/>
          <w:bCs/>
          <w:noProof/>
          <w:sz w:val="18"/>
          <w:szCs w:val="18"/>
        </w:rPr>
        <w:br/>
      </w:r>
      <w:r w:rsidRPr="00EE3D7A" w:rsidR="00AB2B4A">
        <w:rPr>
          <w:noProof/>
          <w:sz w:val="18"/>
          <w:szCs w:val="18"/>
        </w:rPr>
        <w:t xml:space="preserve">The Archatrak </w:t>
      </w:r>
      <w:r w:rsidRPr="00EE3D7A" w:rsidR="003C2AFA">
        <w:rPr>
          <w:noProof/>
          <w:sz w:val="18"/>
          <w:szCs w:val="18"/>
        </w:rPr>
        <w:t>wind uplift miti</w:t>
      </w:r>
      <w:r w:rsidR="00D74E0F">
        <w:rPr>
          <w:noProof/>
          <w:sz w:val="18"/>
          <w:szCs w:val="18"/>
        </w:rPr>
        <w:t>g</w:t>
      </w:r>
      <w:r w:rsidRPr="00EE3D7A" w:rsidR="003C2AFA">
        <w:rPr>
          <w:noProof/>
          <w:sz w:val="18"/>
          <w:szCs w:val="18"/>
        </w:rPr>
        <w:t xml:space="preserve">ation system </w:t>
      </w:r>
      <w:r w:rsidR="00EE3D7A">
        <w:rPr>
          <w:noProof/>
          <w:sz w:val="18"/>
          <w:szCs w:val="18"/>
        </w:rPr>
        <w:t xml:space="preserve">utilzes Incendio pedestals </w:t>
      </w:r>
      <w:r w:rsidR="00177DC3">
        <w:rPr>
          <w:noProof/>
          <w:sz w:val="18"/>
          <w:szCs w:val="18"/>
        </w:rPr>
        <w:t xml:space="preserve">with </w:t>
      </w:r>
      <w:r w:rsidR="00C33A06">
        <w:rPr>
          <w:noProof/>
          <w:sz w:val="18"/>
          <w:szCs w:val="18"/>
        </w:rPr>
        <w:t xml:space="preserve">a </w:t>
      </w:r>
      <w:r w:rsidR="00177DC3">
        <w:rPr>
          <w:noProof/>
          <w:sz w:val="18"/>
          <w:szCs w:val="18"/>
        </w:rPr>
        <w:t xml:space="preserve">tapped head </w:t>
      </w:r>
      <w:r w:rsidR="00BC739E">
        <w:rPr>
          <w:noProof/>
          <w:sz w:val="18"/>
          <w:szCs w:val="18"/>
        </w:rPr>
        <w:t xml:space="preserve">to securely </w:t>
      </w:r>
      <w:r w:rsidR="00F832AA">
        <w:rPr>
          <w:noProof/>
          <w:sz w:val="18"/>
          <w:szCs w:val="18"/>
        </w:rPr>
        <w:t xml:space="preserve">hold down </w:t>
      </w:r>
      <w:r w:rsidR="0022510B">
        <w:rPr>
          <w:noProof/>
          <w:sz w:val="18"/>
          <w:szCs w:val="18"/>
        </w:rPr>
        <w:t>both 2cm and 3cm thick porcelain pavers</w:t>
      </w:r>
      <w:r w:rsidR="000B4923">
        <w:rPr>
          <w:noProof/>
          <w:sz w:val="18"/>
          <w:szCs w:val="18"/>
        </w:rPr>
        <w:t xml:space="preserve"> onto the pedestal suppo</w:t>
      </w:r>
      <w:r w:rsidR="00E72468">
        <w:rPr>
          <w:noProof/>
          <w:sz w:val="18"/>
          <w:szCs w:val="18"/>
        </w:rPr>
        <w:t>rts.</w:t>
      </w:r>
      <w:r w:rsidR="007F039A">
        <w:rPr>
          <w:noProof/>
          <w:sz w:val="18"/>
          <w:szCs w:val="18"/>
        </w:rPr>
        <w:t xml:space="preserve"> </w:t>
      </w:r>
      <w:r w:rsidR="008B7602">
        <w:rPr>
          <w:noProof/>
          <w:sz w:val="18"/>
          <w:szCs w:val="18"/>
        </w:rPr>
        <w:t xml:space="preserve">Incendio </w:t>
      </w:r>
      <w:r w:rsidR="00176B6A">
        <w:rPr>
          <w:noProof/>
          <w:sz w:val="18"/>
          <w:szCs w:val="18"/>
        </w:rPr>
        <w:t xml:space="preserve">tapped head </w:t>
      </w:r>
      <w:r w:rsidR="007F039A">
        <w:rPr>
          <w:noProof/>
          <w:sz w:val="18"/>
          <w:szCs w:val="18"/>
        </w:rPr>
        <w:t xml:space="preserve">steel pedestal provide much superior hold down capability </w:t>
      </w:r>
      <w:r w:rsidR="00D10A12">
        <w:rPr>
          <w:noProof/>
          <w:sz w:val="18"/>
          <w:szCs w:val="18"/>
        </w:rPr>
        <w:t xml:space="preserve">compared with </w:t>
      </w:r>
      <w:r w:rsidR="00366166">
        <w:rPr>
          <w:noProof/>
          <w:sz w:val="18"/>
          <w:szCs w:val="18"/>
        </w:rPr>
        <w:t>p</w:t>
      </w:r>
      <w:r w:rsidR="00D10A12">
        <w:rPr>
          <w:noProof/>
          <w:sz w:val="18"/>
          <w:szCs w:val="18"/>
        </w:rPr>
        <w:t>lastic pedestals</w:t>
      </w:r>
      <w:r w:rsidR="00366166">
        <w:rPr>
          <w:noProof/>
          <w:sz w:val="18"/>
          <w:szCs w:val="18"/>
        </w:rPr>
        <w:t xml:space="preserve"> with simi</w:t>
      </w:r>
      <w:r w:rsidR="008B7602">
        <w:rPr>
          <w:noProof/>
          <w:sz w:val="18"/>
          <w:szCs w:val="18"/>
        </w:rPr>
        <w:t>lar</w:t>
      </w:r>
      <w:r w:rsidR="00366166">
        <w:rPr>
          <w:noProof/>
          <w:sz w:val="18"/>
          <w:szCs w:val="18"/>
        </w:rPr>
        <w:t xml:space="preserve"> sc</w:t>
      </w:r>
      <w:r w:rsidR="00CB3576">
        <w:rPr>
          <w:noProof/>
          <w:sz w:val="18"/>
          <w:szCs w:val="18"/>
        </w:rPr>
        <w:t>r</w:t>
      </w:r>
      <w:r w:rsidR="00366166">
        <w:rPr>
          <w:noProof/>
          <w:sz w:val="18"/>
          <w:szCs w:val="18"/>
        </w:rPr>
        <w:t xml:space="preserve">ew </w:t>
      </w:r>
      <w:r w:rsidR="008B7602">
        <w:rPr>
          <w:noProof/>
          <w:sz w:val="18"/>
          <w:szCs w:val="18"/>
        </w:rPr>
        <w:t>and washer assemblies</w:t>
      </w:r>
      <w:r w:rsidR="00A6003D">
        <w:rPr>
          <w:noProof/>
          <w:sz w:val="18"/>
          <w:szCs w:val="18"/>
        </w:rPr>
        <w:t xml:space="preserve"> as the screw is </w:t>
      </w:r>
      <w:r w:rsidR="006C6661">
        <w:rPr>
          <w:noProof/>
          <w:sz w:val="18"/>
          <w:szCs w:val="18"/>
        </w:rPr>
        <w:t xml:space="preserve">tightly </w:t>
      </w:r>
      <w:r w:rsidR="00A6003D">
        <w:rPr>
          <w:noProof/>
          <w:sz w:val="18"/>
          <w:szCs w:val="18"/>
        </w:rPr>
        <w:t xml:space="preserve">secured </w:t>
      </w:r>
      <w:r w:rsidR="006C6661">
        <w:rPr>
          <w:noProof/>
          <w:sz w:val="18"/>
          <w:szCs w:val="18"/>
        </w:rPr>
        <w:t>in</w:t>
      </w:r>
      <w:r w:rsidR="00193AAE">
        <w:rPr>
          <w:noProof/>
          <w:sz w:val="18"/>
          <w:szCs w:val="18"/>
        </w:rPr>
        <w:t>to</w:t>
      </w:r>
      <w:r w:rsidR="006C6661">
        <w:rPr>
          <w:noProof/>
          <w:sz w:val="18"/>
          <w:szCs w:val="18"/>
        </w:rPr>
        <w:t xml:space="preserve"> the threaded metal head.</w:t>
      </w:r>
      <w:r w:rsidR="00D70C99">
        <w:rPr>
          <w:noProof/>
          <w:sz w:val="18"/>
          <w:szCs w:val="18"/>
        </w:rPr>
        <w:t xml:space="preserve"> The hold  down system </w:t>
      </w:r>
      <w:r w:rsidR="00CB3576">
        <w:rPr>
          <w:noProof/>
          <w:sz w:val="18"/>
          <w:szCs w:val="18"/>
        </w:rPr>
        <w:t>is sl</w:t>
      </w:r>
      <w:r w:rsidR="00D70C99">
        <w:rPr>
          <w:noProof/>
          <w:sz w:val="18"/>
          <w:szCs w:val="18"/>
        </w:rPr>
        <w:t>ig</w:t>
      </w:r>
      <w:r w:rsidR="00CB3576">
        <w:rPr>
          <w:noProof/>
          <w:sz w:val="18"/>
          <w:szCs w:val="18"/>
        </w:rPr>
        <w:t>h</w:t>
      </w:r>
      <w:r w:rsidR="00D70C99">
        <w:rPr>
          <w:noProof/>
          <w:sz w:val="18"/>
          <w:szCs w:val="18"/>
        </w:rPr>
        <w:t xml:space="preserve">tly different </w:t>
      </w:r>
      <w:r w:rsidR="00C73BA8">
        <w:rPr>
          <w:noProof/>
          <w:sz w:val="18"/>
          <w:szCs w:val="18"/>
        </w:rPr>
        <w:t>for 3cm paver c.f. 2cm pavers.</w:t>
      </w:r>
    </w:p>
    <w:p w:rsidR="001401A6" w:rsidP="001401A6" w:rsidRDefault="00C73BA8" w14:paraId="2958C905" w14:textId="5A4E9803">
      <w:pPr>
        <w:ind w:left="720"/>
        <w:rPr>
          <w:sz w:val="18"/>
          <w:szCs w:val="18"/>
        </w:rPr>
      </w:pPr>
      <w:r>
        <w:rPr>
          <w:b/>
          <w:bCs/>
          <w:sz w:val="18"/>
          <w:szCs w:val="18"/>
        </w:rPr>
        <w:br/>
      </w:r>
      <w:r w:rsidR="001401A6">
        <w:rPr>
          <w:noProof/>
          <w:sz w:val="18"/>
          <w:szCs w:val="18"/>
        </w:rPr>
        <w:drawing>
          <wp:anchor distT="0" distB="0" distL="114300" distR="114300" simplePos="0" relativeHeight="251686912" behindDoc="1" locked="0" layoutInCell="1" allowOverlap="1" wp14:anchorId="58D08F36" wp14:editId="26D42DCE">
            <wp:simplePos x="0" y="0"/>
            <wp:positionH relativeFrom="margin">
              <wp:posOffset>4711700</wp:posOffset>
            </wp:positionH>
            <wp:positionV relativeFrom="paragraph">
              <wp:posOffset>9525</wp:posOffset>
            </wp:positionV>
            <wp:extent cx="1891665" cy="1416050"/>
            <wp:effectExtent l="0" t="0" r="0" b="0"/>
            <wp:wrapTight wrapText="bothSides">
              <wp:wrapPolygon edited="0">
                <wp:start x="0" y="0"/>
                <wp:lineTo x="0" y="21213"/>
                <wp:lineTo x="21317" y="21213"/>
                <wp:lineTo x="21317" y="0"/>
                <wp:lineTo x="0" y="0"/>
              </wp:wrapPolygon>
            </wp:wrapTight>
            <wp:docPr id="411819905" name="Picture 11" descr="A metal base with a metal screw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819905" name="Picture 11" descr="A metal base with a metal screw&#10;&#10;Description automatically generated with medium confidenc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1665" cy="1416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1415D" w:rsidR="00C1415D">
        <w:rPr>
          <w:b/>
          <w:bCs/>
          <w:sz w:val="18"/>
          <w:szCs w:val="18"/>
        </w:rPr>
        <w:t>T20 (2cm thick) porcelain pavers</w:t>
      </w:r>
      <w:r w:rsidR="00C1415D">
        <w:rPr>
          <w:sz w:val="18"/>
          <w:szCs w:val="18"/>
        </w:rPr>
        <w:br/>
      </w:r>
      <w:proofErr w:type="spellStart"/>
      <w:r w:rsidR="00200AB2">
        <w:rPr>
          <w:sz w:val="18"/>
          <w:szCs w:val="18"/>
        </w:rPr>
        <w:t>P</w:t>
      </w:r>
      <w:r w:rsidR="00C1415D">
        <w:rPr>
          <w:sz w:val="18"/>
          <w:szCs w:val="18"/>
        </w:rPr>
        <w:t>avers</w:t>
      </w:r>
      <w:proofErr w:type="spellEnd"/>
      <w:r w:rsidR="00C1415D">
        <w:rPr>
          <w:sz w:val="18"/>
          <w:szCs w:val="18"/>
        </w:rPr>
        <w:t xml:space="preserve"> </w:t>
      </w:r>
      <w:r w:rsidRPr="00884C0A" w:rsidR="00C1415D">
        <w:rPr>
          <w:sz w:val="18"/>
          <w:szCs w:val="18"/>
        </w:rPr>
        <w:t xml:space="preserve">are bonded to </w:t>
      </w:r>
      <w:r w:rsidR="00C1415D">
        <w:rPr>
          <w:sz w:val="18"/>
          <w:szCs w:val="18"/>
        </w:rPr>
        <w:t xml:space="preserve">Archatrak </w:t>
      </w:r>
      <w:r w:rsidRPr="00884C0A" w:rsidR="00C1415D">
        <w:rPr>
          <w:sz w:val="18"/>
          <w:szCs w:val="18"/>
        </w:rPr>
        <w:t>‘</w:t>
      </w:r>
      <w:proofErr w:type="spellStart"/>
      <w:r w:rsidRPr="00884C0A" w:rsidR="00C1415D">
        <w:rPr>
          <w:sz w:val="18"/>
          <w:szCs w:val="18"/>
        </w:rPr>
        <w:t>SpanSafe</w:t>
      </w:r>
      <w:proofErr w:type="spellEnd"/>
      <w:r w:rsidRPr="00884C0A" w:rsidR="00C1415D">
        <w:rPr>
          <w:sz w:val="18"/>
          <w:szCs w:val="18"/>
        </w:rPr>
        <w:t xml:space="preserve">’ </w:t>
      </w:r>
      <w:r w:rsidR="00C1415D">
        <w:rPr>
          <w:sz w:val="18"/>
          <w:szCs w:val="18"/>
        </w:rPr>
        <w:t xml:space="preserve">galvanized, powder coated </w:t>
      </w:r>
      <w:r w:rsidRPr="00884C0A" w:rsidR="00C1415D">
        <w:rPr>
          <w:sz w:val="18"/>
          <w:szCs w:val="18"/>
        </w:rPr>
        <w:t xml:space="preserve">trays with beads of Chemlink M1 or 3M 550 adhesive applied at each of the four corners. </w:t>
      </w:r>
    </w:p>
    <w:p w:rsidR="00C1415D" w:rsidP="001401A6" w:rsidRDefault="00C1415D" w14:paraId="47969AFF" w14:textId="403416BB">
      <w:pPr>
        <w:ind w:left="720"/>
        <w:rPr>
          <w:sz w:val="18"/>
          <w:szCs w:val="18"/>
        </w:rPr>
      </w:pPr>
      <w:r w:rsidRPr="00884C0A">
        <w:rPr>
          <w:sz w:val="18"/>
          <w:szCs w:val="18"/>
        </w:rPr>
        <w:t xml:space="preserve">A </w:t>
      </w:r>
      <w:r w:rsidRPr="003D2D91" w:rsidR="003D2D91">
        <w:rPr>
          <w:sz w:val="18"/>
          <w:szCs w:val="18"/>
        </w:rPr>
        <w:t>custom-made stainless steel hold-down washer</w:t>
      </w:r>
      <w:r w:rsidRPr="00884C0A">
        <w:rPr>
          <w:sz w:val="18"/>
          <w:szCs w:val="18"/>
        </w:rPr>
        <w:t xml:space="preserve"> is </w:t>
      </w:r>
      <w:r w:rsidR="004E2EFE">
        <w:rPr>
          <w:sz w:val="18"/>
          <w:szCs w:val="18"/>
        </w:rPr>
        <w:t>slotted into</w:t>
      </w:r>
      <w:r w:rsidRPr="00884C0A">
        <w:rPr>
          <w:sz w:val="18"/>
          <w:szCs w:val="18"/>
        </w:rPr>
        <w:t xml:space="preserve"> the space between the </w:t>
      </w:r>
      <w:r w:rsidR="004E2EFE">
        <w:rPr>
          <w:sz w:val="18"/>
          <w:szCs w:val="18"/>
        </w:rPr>
        <w:t xml:space="preserve">metal </w:t>
      </w:r>
      <w:r w:rsidRPr="00884C0A">
        <w:rPr>
          <w:sz w:val="18"/>
          <w:szCs w:val="18"/>
        </w:rPr>
        <w:t xml:space="preserve">tray and the paver and screwed down tightly </w:t>
      </w:r>
      <w:r>
        <w:rPr>
          <w:sz w:val="18"/>
          <w:szCs w:val="18"/>
        </w:rPr>
        <w:t xml:space="preserve">into </w:t>
      </w:r>
      <w:r w:rsidRPr="00884C0A">
        <w:rPr>
          <w:sz w:val="18"/>
          <w:szCs w:val="18"/>
        </w:rPr>
        <w:t xml:space="preserve">to the </w:t>
      </w:r>
      <w:r w:rsidRPr="00A81802">
        <w:rPr>
          <w:sz w:val="18"/>
          <w:szCs w:val="18"/>
        </w:rPr>
        <w:t xml:space="preserve">tapped head of the </w:t>
      </w:r>
      <w:r>
        <w:rPr>
          <w:sz w:val="18"/>
          <w:szCs w:val="18"/>
        </w:rPr>
        <w:t xml:space="preserve">Incendio </w:t>
      </w:r>
      <w:r w:rsidRPr="00A81802">
        <w:rPr>
          <w:sz w:val="18"/>
          <w:szCs w:val="18"/>
        </w:rPr>
        <w:t>pedestal</w:t>
      </w:r>
      <w:r w:rsidR="00453D5D">
        <w:rPr>
          <w:sz w:val="18"/>
          <w:szCs w:val="18"/>
        </w:rPr>
        <w:t xml:space="preserve"> with a </w:t>
      </w:r>
      <w:r w:rsidR="00AB2B4A">
        <w:rPr>
          <w:sz w:val="18"/>
          <w:szCs w:val="18"/>
        </w:rPr>
        <w:t>stainless-steel</w:t>
      </w:r>
      <w:r w:rsidR="00453D5D">
        <w:rPr>
          <w:sz w:val="18"/>
          <w:szCs w:val="18"/>
        </w:rPr>
        <w:t xml:space="preserve"> screw.</w:t>
      </w:r>
    </w:p>
    <w:p w:rsidR="001401A6" w:rsidP="001401A6" w:rsidRDefault="001401A6" w14:paraId="2803B063" w14:textId="77777777">
      <w:pPr>
        <w:ind w:left="720"/>
        <w:rPr>
          <w:b/>
          <w:bCs/>
          <w:sz w:val="18"/>
          <w:szCs w:val="18"/>
        </w:rPr>
      </w:pPr>
    </w:p>
    <w:p w:rsidR="001401A6" w:rsidP="001401A6" w:rsidRDefault="001401A6" w14:paraId="040693A4" w14:textId="77777777">
      <w:pPr>
        <w:ind w:left="720"/>
        <w:rPr>
          <w:b/>
          <w:bCs/>
          <w:sz w:val="18"/>
          <w:szCs w:val="18"/>
        </w:rPr>
      </w:pPr>
    </w:p>
    <w:p w:rsidR="001401A6" w:rsidP="001401A6" w:rsidRDefault="001401A6" w14:paraId="6ADF479E" w14:textId="12CB784E">
      <w:pPr>
        <w:ind w:left="720"/>
        <w:rPr>
          <w:sz w:val="18"/>
          <w:szCs w:val="18"/>
        </w:rPr>
      </w:pPr>
      <w:r>
        <w:rPr>
          <w:noProof/>
          <w:sz w:val="18"/>
          <w:szCs w:val="18"/>
        </w:rPr>
        <w:drawing>
          <wp:anchor distT="0" distB="0" distL="114300" distR="114300" simplePos="0" relativeHeight="251687936" behindDoc="1" locked="0" layoutInCell="1" allowOverlap="1" wp14:anchorId="1F26DAC6" wp14:editId="335D5CF5">
            <wp:simplePos x="0" y="0"/>
            <wp:positionH relativeFrom="margin">
              <wp:posOffset>4726305</wp:posOffset>
            </wp:positionH>
            <wp:positionV relativeFrom="paragraph">
              <wp:posOffset>5080</wp:posOffset>
            </wp:positionV>
            <wp:extent cx="2042795" cy="1543050"/>
            <wp:effectExtent l="0" t="0" r="0" b="0"/>
            <wp:wrapTight wrapText="bothSides">
              <wp:wrapPolygon edited="0">
                <wp:start x="0" y="0"/>
                <wp:lineTo x="0" y="21333"/>
                <wp:lineTo x="21352" y="21333"/>
                <wp:lineTo x="21352" y="0"/>
                <wp:lineTo x="0" y="0"/>
              </wp:wrapPolygon>
            </wp:wrapTight>
            <wp:docPr id="971421664" name="Picture 13" descr="A metal plate with a screw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421664" name="Picture 13" descr="A metal plate with a screw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279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1415D" w:rsidR="008E68F3">
        <w:rPr>
          <w:b/>
          <w:bCs/>
          <w:sz w:val="18"/>
          <w:szCs w:val="18"/>
        </w:rPr>
        <w:t>T</w:t>
      </w:r>
      <w:r w:rsidRPr="00C1415D" w:rsidR="008E68F3">
        <w:rPr>
          <w:b/>
          <w:bCs/>
          <w:sz w:val="18"/>
          <w:szCs w:val="18"/>
        </w:rPr>
        <w:t xml:space="preserve">30 </w:t>
      </w:r>
      <w:r w:rsidRPr="00C1415D" w:rsidR="00884C0A">
        <w:rPr>
          <w:b/>
          <w:bCs/>
          <w:sz w:val="18"/>
          <w:szCs w:val="18"/>
        </w:rPr>
        <w:t xml:space="preserve">(3cm thick) </w:t>
      </w:r>
      <w:r w:rsidRPr="00C1415D" w:rsidR="008E68F3">
        <w:rPr>
          <w:b/>
          <w:bCs/>
          <w:sz w:val="18"/>
          <w:szCs w:val="18"/>
        </w:rPr>
        <w:t>porcelain pavers</w:t>
      </w:r>
      <w:r w:rsidR="00A2694B">
        <w:rPr>
          <w:sz w:val="18"/>
          <w:szCs w:val="18"/>
        </w:rPr>
        <w:t>,</w:t>
      </w:r>
      <w:r w:rsidR="00C1415D">
        <w:rPr>
          <w:sz w:val="18"/>
          <w:szCs w:val="18"/>
        </w:rPr>
        <w:br/>
      </w:r>
      <w:r w:rsidR="00200AB2">
        <w:rPr>
          <w:sz w:val="18"/>
          <w:szCs w:val="18"/>
        </w:rPr>
        <w:t>A</w:t>
      </w:r>
      <w:r w:rsidRPr="008E68F3" w:rsidR="008E68F3">
        <w:rPr>
          <w:sz w:val="18"/>
          <w:szCs w:val="18"/>
        </w:rPr>
        <w:t xml:space="preserve"> small semi-circular kerf is cut in each corner of the paver to accept a </w:t>
      </w:r>
      <w:r w:rsidRPr="003D2D91" w:rsidR="004E2EFE">
        <w:rPr>
          <w:sz w:val="18"/>
          <w:szCs w:val="18"/>
        </w:rPr>
        <w:t>custom-made stainless steel hold-down washer</w:t>
      </w:r>
      <w:r w:rsidR="004E2EFE">
        <w:rPr>
          <w:sz w:val="18"/>
          <w:szCs w:val="18"/>
        </w:rPr>
        <w:t>.</w:t>
      </w:r>
      <w:r w:rsidR="00AB2B4A">
        <w:rPr>
          <w:sz w:val="18"/>
          <w:szCs w:val="18"/>
        </w:rPr>
        <w:t xml:space="preserve"> </w:t>
      </w:r>
    </w:p>
    <w:p w:rsidR="00304F0F" w:rsidP="001401A6" w:rsidRDefault="00EF6516" w14:paraId="37D39E34" w14:textId="4E248A6D">
      <w:pPr>
        <w:ind w:left="720"/>
        <w:rPr>
          <w:sz w:val="18"/>
          <w:szCs w:val="18"/>
        </w:rPr>
      </w:pPr>
      <w:r w:rsidRPr="00EF6516">
        <w:rPr>
          <w:sz w:val="18"/>
          <w:szCs w:val="18"/>
        </w:rPr>
        <w:t xml:space="preserve">The pavers are </w:t>
      </w:r>
      <w:r w:rsidR="00AB2B4A">
        <w:rPr>
          <w:sz w:val="18"/>
          <w:szCs w:val="18"/>
        </w:rPr>
        <w:t xml:space="preserve">then </w:t>
      </w:r>
      <w:r w:rsidRPr="00EF6516">
        <w:rPr>
          <w:sz w:val="18"/>
          <w:szCs w:val="18"/>
        </w:rPr>
        <w:t xml:space="preserve">securely fixed to the pedestal head with a </w:t>
      </w:r>
      <w:r w:rsidRPr="00EF6516" w:rsidR="00200AB2">
        <w:rPr>
          <w:sz w:val="18"/>
          <w:szCs w:val="18"/>
        </w:rPr>
        <w:t>stainless-steel</w:t>
      </w:r>
      <w:r w:rsidRPr="00EF6516">
        <w:rPr>
          <w:sz w:val="18"/>
          <w:szCs w:val="18"/>
        </w:rPr>
        <w:t xml:space="preserve"> screw inserted through the center of the washer which in turn screws into </w:t>
      </w:r>
      <w:bookmarkStart w:name="_Hlk162172755" w:id="1"/>
      <w:r w:rsidRPr="00EF6516">
        <w:rPr>
          <w:sz w:val="18"/>
          <w:szCs w:val="18"/>
        </w:rPr>
        <w:t xml:space="preserve">the tapped head of the </w:t>
      </w:r>
      <w:r w:rsidR="00A81802">
        <w:rPr>
          <w:sz w:val="18"/>
          <w:szCs w:val="18"/>
        </w:rPr>
        <w:t xml:space="preserve">Incendio </w:t>
      </w:r>
      <w:r w:rsidRPr="00EF6516">
        <w:rPr>
          <w:sz w:val="18"/>
          <w:szCs w:val="18"/>
        </w:rPr>
        <w:t>pedestal</w:t>
      </w:r>
      <w:bookmarkEnd w:id="1"/>
      <w:r w:rsidRPr="00EF6516">
        <w:rPr>
          <w:sz w:val="18"/>
          <w:szCs w:val="18"/>
        </w:rPr>
        <w:t>.</w:t>
      </w:r>
    </w:p>
    <w:p w:rsidR="0050265B" w:rsidP="0004710E" w:rsidRDefault="0050265B" w14:paraId="2E439B74" w14:textId="1A206E56">
      <w:pPr>
        <w:rPr>
          <w:sz w:val="18"/>
          <w:szCs w:val="18"/>
        </w:rPr>
      </w:pPr>
    </w:p>
    <w:p w:rsidR="0050265B" w:rsidP="0004710E" w:rsidRDefault="0050265B" w14:paraId="50FB2D4E" w14:textId="1740F7C0">
      <w:pPr>
        <w:rPr>
          <w:sz w:val="18"/>
          <w:szCs w:val="18"/>
        </w:rPr>
      </w:pPr>
    </w:p>
    <w:p w:rsidRPr="00C92E9C" w:rsidR="007D789C" w:rsidP="0004710E" w:rsidRDefault="007500CF" w14:paraId="73E557FE" w14:textId="6729F998">
      <w:pPr>
        <w:rPr>
          <w:b/>
          <w:bCs/>
          <w:sz w:val="20"/>
          <w:szCs w:val="20"/>
        </w:rPr>
      </w:pPr>
      <w:r w:rsidRPr="00C92E9C">
        <w:rPr>
          <w:b/>
          <w:bCs/>
          <w:sz w:val="20"/>
          <w:szCs w:val="20"/>
        </w:rPr>
        <w:t xml:space="preserve">Special </w:t>
      </w:r>
      <w:r w:rsidRPr="00C92E9C" w:rsidR="00C92E9C">
        <w:rPr>
          <w:b/>
          <w:bCs/>
          <w:sz w:val="20"/>
          <w:szCs w:val="20"/>
        </w:rPr>
        <w:t xml:space="preserve">Note with </w:t>
      </w:r>
      <w:r w:rsidRPr="00C92E9C" w:rsidR="00CA0E7E">
        <w:rPr>
          <w:b/>
          <w:bCs/>
          <w:sz w:val="20"/>
          <w:szCs w:val="20"/>
        </w:rPr>
        <w:t xml:space="preserve">Porcelain Paver </w:t>
      </w:r>
      <w:r w:rsidRPr="00C92E9C" w:rsidR="002C313E">
        <w:rPr>
          <w:b/>
          <w:bCs/>
          <w:sz w:val="20"/>
          <w:szCs w:val="20"/>
        </w:rPr>
        <w:t>Installation</w:t>
      </w:r>
      <w:r w:rsidRPr="00C92E9C" w:rsidR="00C92E9C">
        <w:rPr>
          <w:b/>
          <w:bCs/>
          <w:sz w:val="20"/>
          <w:szCs w:val="20"/>
        </w:rPr>
        <w:t>s</w:t>
      </w:r>
    </w:p>
    <w:p w:rsidR="008F3B2D" w:rsidP="0004710E" w:rsidRDefault="008F3B2D" w14:paraId="1D13A7C1" w14:textId="39AA9BF1">
      <w:pPr>
        <w:rPr>
          <w:sz w:val="18"/>
          <w:szCs w:val="18"/>
        </w:rPr>
      </w:pPr>
      <w:r>
        <w:rPr>
          <w:sz w:val="18"/>
          <w:szCs w:val="18"/>
        </w:rPr>
        <w:t xml:space="preserve">All pavers must be butted as tightly as possible against tabs on </w:t>
      </w:r>
      <w:r>
        <w:rPr>
          <w:sz w:val="18"/>
          <w:szCs w:val="18"/>
        </w:rPr>
        <w:t xml:space="preserve">the </w:t>
      </w:r>
      <w:r>
        <w:rPr>
          <w:sz w:val="18"/>
          <w:szCs w:val="18"/>
        </w:rPr>
        <w:t>pedestal</w:t>
      </w:r>
      <w:r>
        <w:rPr>
          <w:sz w:val="18"/>
          <w:szCs w:val="18"/>
        </w:rPr>
        <w:t xml:space="preserve"> heads.</w:t>
      </w:r>
    </w:p>
    <w:p w:rsidR="00A06182" w:rsidP="0004710E" w:rsidRDefault="00C92E9C" w14:paraId="3F1DD817" w14:textId="44648353">
      <w:pPr>
        <w:rPr>
          <w:sz w:val="18"/>
          <w:szCs w:val="18"/>
        </w:rPr>
      </w:pPr>
      <w:r>
        <w:rPr>
          <w:sz w:val="18"/>
          <w:szCs w:val="18"/>
        </w:rPr>
        <w:t>A s</w:t>
      </w:r>
      <w:r w:rsidR="004F01D0">
        <w:rPr>
          <w:sz w:val="18"/>
          <w:szCs w:val="18"/>
        </w:rPr>
        <w:t>olid</w:t>
      </w:r>
      <w:r w:rsidR="009C6134">
        <w:rPr>
          <w:sz w:val="18"/>
          <w:szCs w:val="18"/>
        </w:rPr>
        <w:t xml:space="preserve"> edge </w:t>
      </w:r>
      <w:r w:rsidR="0011098C">
        <w:rPr>
          <w:sz w:val="18"/>
          <w:szCs w:val="18"/>
        </w:rPr>
        <w:t>restraint</w:t>
      </w:r>
      <w:r w:rsidR="002956DE">
        <w:rPr>
          <w:sz w:val="18"/>
          <w:szCs w:val="18"/>
        </w:rPr>
        <w:t xml:space="preserve"> </w:t>
      </w:r>
      <w:r w:rsidR="004F01D0">
        <w:rPr>
          <w:sz w:val="18"/>
          <w:szCs w:val="18"/>
        </w:rPr>
        <w:t xml:space="preserve">is required </w:t>
      </w:r>
      <w:r w:rsidR="004A1B85">
        <w:rPr>
          <w:sz w:val="18"/>
          <w:szCs w:val="18"/>
        </w:rPr>
        <w:t>around</w:t>
      </w:r>
      <w:r w:rsidR="002956DE">
        <w:rPr>
          <w:sz w:val="18"/>
          <w:szCs w:val="18"/>
        </w:rPr>
        <w:t xml:space="preserve"> all sides of the deck</w:t>
      </w:r>
      <w:r w:rsidR="004A1B85">
        <w:rPr>
          <w:sz w:val="18"/>
          <w:szCs w:val="18"/>
        </w:rPr>
        <w:t>.</w:t>
      </w:r>
      <w:r w:rsidR="005A7673">
        <w:rPr>
          <w:sz w:val="18"/>
          <w:szCs w:val="18"/>
        </w:rPr>
        <w:t xml:space="preserve"> </w:t>
      </w:r>
      <w:r w:rsidR="00B41E62">
        <w:rPr>
          <w:sz w:val="18"/>
          <w:szCs w:val="18"/>
        </w:rPr>
        <w:t>Ensure</w:t>
      </w:r>
      <w:r w:rsidR="0061347F">
        <w:rPr>
          <w:sz w:val="18"/>
          <w:szCs w:val="18"/>
        </w:rPr>
        <w:t xml:space="preserve"> there is no spa</w:t>
      </w:r>
      <w:r w:rsidR="00D373A2">
        <w:rPr>
          <w:sz w:val="18"/>
          <w:szCs w:val="18"/>
        </w:rPr>
        <w:t>c</w:t>
      </w:r>
      <w:r w:rsidR="0061347F">
        <w:rPr>
          <w:sz w:val="18"/>
          <w:szCs w:val="18"/>
        </w:rPr>
        <w:t xml:space="preserve">e exceeding 3/16” </w:t>
      </w:r>
      <w:r w:rsidR="00D373A2">
        <w:rPr>
          <w:sz w:val="18"/>
          <w:szCs w:val="18"/>
        </w:rPr>
        <w:t>between the edge of the pavers and the restraining walls on all sides of the deck.</w:t>
      </w:r>
      <w:r w:rsidR="000374D1">
        <w:rPr>
          <w:sz w:val="18"/>
          <w:szCs w:val="18"/>
        </w:rPr>
        <w:t xml:space="preserve"> </w:t>
      </w:r>
    </w:p>
    <w:p w:rsidRPr="0004710E" w:rsidR="00083DB4" w:rsidP="0004710E" w:rsidRDefault="005313A7" w14:paraId="601609F8" w14:textId="3591E929">
      <w:pPr>
        <w:rPr>
          <w:sz w:val="18"/>
          <w:szCs w:val="18"/>
        </w:rPr>
      </w:pPr>
      <w:r>
        <w:rPr>
          <w:sz w:val="18"/>
          <w:szCs w:val="18"/>
        </w:rPr>
        <w:t xml:space="preserve">When laying </w:t>
      </w:r>
      <w:r w:rsidR="00F952A9">
        <w:rPr>
          <w:sz w:val="18"/>
          <w:szCs w:val="18"/>
        </w:rPr>
        <w:t xml:space="preserve">2cm </w:t>
      </w:r>
      <w:r>
        <w:rPr>
          <w:sz w:val="18"/>
          <w:szCs w:val="18"/>
        </w:rPr>
        <w:t>porcelain pavers</w:t>
      </w:r>
      <w:r w:rsidR="00F952A9">
        <w:rPr>
          <w:sz w:val="18"/>
          <w:szCs w:val="18"/>
        </w:rPr>
        <w:t xml:space="preserve"> where deck heights exceed 4”, </w:t>
      </w:r>
      <w:r w:rsidRPr="007F75C5" w:rsidR="007F75C5">
        <w:rPr>
          <w:sz w:val="18"/>
          <w:szCs w:val="18"/>
        </w:rPr>
        <w:t xml:space="preserve">appropriate reinforcement </w:t>
      </w:r>
      <w:r w:rsidR="00DB481D">
        <w:rPr>
          <w:sz w:val="18"/>
          <w:szCs w:val="18"/>
        </w:rPr>
        <w:t xml:space="preserve">mesh, </w:t>
      </w:r>
      <w:r w:rsidR="00B4431B">
        <w:rPr>
          <w:sz w:val="18"/>
          <w:szCs w:val="18"/>
        </w:rPr>
        <w:t xml:space="preserve">self-adhesive </w:t>
      </w:r>
      <w:r w:rsidRPr="007F75C5" w:rsidR="007F75C5">
        <w:rPr>
          <w:sz w:val="18"/>
          <w:szCs w:val="18"/>
        </w:rPr>
        <w:t>sheets or protection plates should be installed on the underside of the pavers</w:t>
      </w:r>
      <w:r w:rsidR="00021CF6">
        <w:rPr>
          <w:sz w:val="18"/>
          <w:szCs w:val="18"/>
        </w:rPr>
        <w:t xml:space="preserve"> in case of </w:t>
      </w:r>
      <w:r w:rsidRPr="00021CF6" w:rsidR="00021CF6">
        <w:rPr>
          <w:sz w:val="18"/>
          <w:szCs w:val="18"/>
        </w:rPr>
        <w:t xml:space="preserve">damage due to careless </w:t>
      </w:r>
      <w:r w:rsidR="001B357E">
        <w:rPr>
          <w:sz w:val="18"/>
          <w:szCs w:val="18"/>
        </w:rPr>
        <w:t>use</w:t>
      </w:r>
      <w:r w:rsidRPr="00021CF6" w:rsidR="00021CF6">
        <w:rPr>
          <w:sz w:val="18"/>
          <w:szCs w:val="18"/>
        </w:rPr>
        <w:t xml:space="preserve"> or accidental impact</w:t>
      </w:r>
      <w:r w:rsidR="002C7C56">
        <w:rPr>
          <w:sz w:val="18"/>
          <w:szCs w:val="18"/>
        </w:rPr>
        <w:t xml:space="preserve"> with heavy </w:t>
      </w:r>
      <w:r w:rsidRPr="002C7C56" w:rsidR="002C7C56">
        <w:rPr>
          <w:sz w:val="18"/>
          <w:szCs w:val="18"/>
        </w:rPr>
        <w:t>tools, heavy or other hard objects</w:t>
      </w:r>
      <w:r w:rsidRPr="00021CF6" w:rsidR="00021CF6">
        <w:rPr>
          <w:sz w:val="18"/>
          <w:szCs w:val="18"/>
        </w:rPr>
        <w:t>.</w:t>
      </w:r>
      <w:r w:rsidR="006E204E">
        <w:rPr>
          <w:sz w:val="18"/>
          <w:szCs w:val="18"/>
        </w:rPr>
        <w:t xml:space="preserve"> Archatrak </w:t>
      </w:r>
      <w:proofErr w:type="spellStart"/>
      <w:r w:rsidR="006E204E">
        <w:rPr>
          <w:sz w:val="18"/>
          <w:szCs w:val="18"/>
        </w:rPr>
        <w:t>Span</w:t>
      </w:r>
      <w:r w:rsidR="00AF1186">
        <w:rPr>
          <w:sz w:val="18"/>
          <w:szCs w:val="18"/>
        </w:rPr>
        <w:t>s</w:t>
      </w:r>
      <w:r w:rsidR="006E204E">
        <w:rPr>
          <w:sz w:val="18"/>
          <w:szCs w:val="18"/>
        </w:rPr>
        <w:t>afe</w:t>
      </w:r>
      <w:proofErr w:type="spellEnd"/>
      <w:r w:rsidR="006E204E">
        <w:rPr>
          <w:sz w:val="18"/>
          <w:szCs w:val="18"/>
        </w:rPr>
        <w:t xml:space="preserve"> metal plates and Shock Control </w:t>
      </w:r>
      <w:r w:rsidR="006D0F8C">
        <w:rPr>
          <w:sz w:val="18"/>
          <w:szCs w:val="18"/>
        </w:rPr>
        <w:t>2.0 self-adhesive sheets</w:t>
      </w:r>
      <w:r w:rsidR="00EC36D6">
        <w:rPr>
          <w:sz w:val="18"/>
          <w:szCs w:val="18"/>
        </w:rPr>
        <w:t xml:space="preserve"> are available for this purpose.</w:t>
      </w:r>
    </w:p>
    <w:sectPr w:rsidRPr="0004710E" w:rsidR="00083DB4" w:rsidSect="00C518F0">
      <w:pgSz w:w="12240" w:h="15840" w:orient="portrait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1F308F"/>
    <w:multiLevelType w:val="hybridMultilevel"/>
    <w:tmpl w:val="4E8CCE2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71495C84"/>
    <w:multiLevelType w:val="hybridMultilevel"/>
    <w:tmpl w:val="ABDE0EBE"/>
    <w:lvl w:ilvl="0" w:tplc="0DDABE72">
      <w:start w:val="3"/>
      <w:numFmt w:val="bullet"/>
      <w:lvlText w:val="-"/>
      <w:lvlJc w:val="left"/>
      <w:pPr>
        <w:ind w:left="720" w:hanging="360"/>
      </w:pPr>
      <w:rPr>
        <w:rFonts w:hint="default" w:ascii="Aptos" w:hAnsi="Aptos" w:eastAsia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7A1955B1"/>
    <w:multiLevelType w:val="hybridMultilevel"/>
    <w:tmpl w:val="1C041F14"/>
    <w:lvl w:ilvl="0" w:tplc="2EF84B10">
      <w:start w:val="7"/>
      <w:numFmt w:val="bullet"/>
      <w:lvlText w:val="-"/>
      <w:lvlJc w:val="left"/>
      <w:pPr>
        <w:ind w:left="2520" w:hanging="360"/>
      </w:pPr>
      <w:rPr>
        <w:rFonts w:hint="default" w:ascii="Aptos" w:hAnsi="Aptos" w:eastAsia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hint="default" w:ascii="Wingdings" w:hAnsi="Wingdings"/>
      </w:rPr>
    </w:lvl>
  </w:abstractNum>
  <w:num w:numId="1" w16cid:durableId="1572542961">
    <w:abstractNumId w:val="0"/>
  </w:num>
  <w:num w:numId="2" w16cid:durableId="1081484150">
    <w:abstractNumId w:val="2"/>
  </w:num>
  <w:num w:numId="3" w16cid:durableId="19130055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10E"/>
    <w:rsid w:val="000115A9"/>
    <w:rsid w:val="00021CF6"/>
    <w:rsid w:val="000251A9"/>
    <w:rsid w:val="0003129B"/>
    <w:rsid w:val="00033DB2"/>
    <w:rsid w:val="000374D1"/>
    <w:rsid w:val="00044AF1"/>
    <w:rsid w:val="00045257"/>
    <w:rsid w:val="0004710E"/>
    <w:rsid w:val="0005702A"/>
    <w:rsid w:val="00064954"/>
    <w:rsid w:val="00066D15"/>
    <w:rsid w:val="00083DB4"/>
    <w:rsid w:val="0009641C"/>
    <w:rsid w:val="000A0E98"/>
    <w:rsid w:val="000A2196"/>
    <w:rsid w:val="000B4923"/>
    <w:rsid w:val="000C7E8E"/>
    <w:rsid w:val="000D589D"/>
    <w:rsid w:val="000E6BFF"/>
    <w:rsid w:val="0010217C"/>
    <w:rsid w:val="0010601D"/>
    <w:rsid w:val="0011098C"/>
    <w:rsid w:val="001232E2"/>
    <w:rsid w:val="00124ABE"/>
    <w:rsid w:val="00133DA3"/>
    <w:rsid w:val="001401A6"/>
    <w:rsid w:val="00140E7A"/>
    <w:rsid w:val="00144121"/>
    <w:rsid w:val="001476FD"/>
    <w:rsid w:val="001515FD"/>
    <w:rsid w:val="001675DE"/>
    <w:rsid w:val="00176B6A"/>
    <w:rsid w:val="00177DC3"/>
    <w:rsid w:val="00186086"/>
    <w:rsid w:val="00192E4E"/>
    <w:rsid w:val="00192FE4"/>
    <w:rsid w:val="00193AAE"/>
    <w:rsid w:val="00195EC6"/>
    <w:rsid w:val="00197C60"/>
    <w:rsid w:val="001A0EF3"/>
    <w:rsid w:val="001A36DB"/>
    <w:rsid w:val="001B357E"/>
    <w:rsid w:val="001B7B46"/>
    <w:rsid w:val="001D0BA3"/>
    <w:rsid w:val="001F5148"/>
    <w:rsid w:val="00200AB2"/>
    <w:rsid w:val="002122E5"/>
    <w:rsid w:val="00216945"/>
    <w:rsid w:val="00216FCF"/>
    <w:rsid w:val="0022510B"/>
    <w:rsid w:val="0023399F"/>
    <w:rsid w:val="00277480"/>
    <w:rsid w:val="0029205B"/>
    <w:rsid w:val="002956DE"/>
    <w:rsid w:val="00297187"/>
    <w:rsid w:val="002B1A00"/>
    <w:rsid w:val="002C2608"/>
    <w:rsid w:val="002C313E"/>
    <w:rsid w:val="002C4F06"/>
    <w:rsid w:val="002C7C56"/>
    <w:rsid w:val="002D3918"/>
    <w:rsid w:val="002D3E7A"/>
    <w:rsid w:val="002F5E25"/>
    <w:rsid w:val="00304316"/>
    <w:rsid w:val="003045F0"/>
    <w:rsid w:val="00304C53"/>
    <w:rsid w:val="00304F0F"/>
    <w:rsid w:val="00307321"/>
    <w:rsid w:val="00313F4E"/>
    <w:rsid w:val="00315AD0"/>
    <w:rsid w:val="00320A09"/>
    <w:rsid w:val="003311A0"/>
    <w:rsid w:val="00337F17"/>
    <w:rsid w:val="00360589"/>
    <w:rsid w:val="00366166"/>
    <w:rsid w:val="00376F22"/>
    <w:rsid w:val="00384C25"/>
    <w:rsid w:val="00391AA8"/>
    <w:rsid w:val="00395FB7"/>
    <w:rsid w:val="003A016E"/>
    <w:rsid w:val="003A42BA"/>
    <w:rsid w:val="003B08AF"/>
    <w:rsid w:val="003C2AFA"/>
    <w:rsid w:val="003D2D91"/>
    <w:rsid w:val="003E4E16"/>
    <w:rsid w:val="003F0965"/>
    <w:rsid w:val="003F1766"/>
    <w:rsid w:val="003F3FB8"/>
    <w:rsid w:val="0040098F"/>
    <w:rsid w:val="0041146C"/>
    <w:rsid w:val="00436099"/>
    <w:rsid w:val="00440AF3"/>
    <w:rsid w:val="00453D5D"/>
    <w:rsid w:val="0046126C"/>
    <w:rsid w:val="004847B2"/>
    <w:rsid w:val="00484FB2"/>
    <w:rsid w:val="00493B6A"/>
    <w:rsid w:val="004A1B85"/>
    <w:rsid w:val="004C4F45"/>
    <w:rsid w:val="004C7384"/>
    <w:rsid w:val="004D489B"/>
    <w:rsid w:val="004E2EFE"/>
    <w:rsid w:val="004F0044"/>
    <w:rsid w:val="004F01D0"/>
    <w:rsid w:val="0050265B"/>
    <w:rsid w:val="00520F63"/>
    <w:rsid w:val="0053077F"/>
    <w:rsid w:val="005313A7"/>
    <w:rsid w:val="00534955"/>
    <w:rsid w:val="00541E68"/>
    <w:rsid w:val="005423E9"/>
    <w:rsid w:val="0054428C"/>
    <w:rsid w:val="00556395"/>
    <w:rsid w:val="005734BF"/>
    <w:rsid w:val="00585A03"/>
    <w:rsid w:val="00593E74"/>
    <w:rsid w:val="00594D26"/>
    <w:rsid w:val="00595FFB"/>
    <w:rsid w:val="00596830"/>
    <w:rsid w:val="005A7673"/>
    <w:rsid w:val="005B1CD7"/>
    <w:rsid w:val="005C28B7"/>
    <w:rsid w:val="005E13DB"/>
    <w:rsid w:val="005F2698"/>
    <w:rsid w:val="00602B4B"/>
    <w:rsid w:val="00606098"/>
    <w:rsid w:val="0061257A"/>
    <w:rsid w:val="0061347F"/>
    <w:rsid w:val="00614728"/>
    <w:rsid w:val="006151D4"/>
    <w:rsid w:val="00616ACF"/>
    <w:rsid w:val="006311D1"/>
    <w:rsid w:val="00634EEB"/>
    <w:rsid w:val="0065394E"/>
    <w:rsid w:val="00653A1D"/>
    <w:rsid w:val="006611EB"/>
    <w:rsid w:val="006665E8"/>
    <w:rsid w:val="00666EA7"/>
    <w:rsid w:val="00672BD6"/>
    <w:rsid w:val="00675FE6"/>
    <w:rsid w:val="00677B42"/>
    <w:rsid w:val="0068394A"/>
    <w:rsid w:val="00685F7A"/>
    <w:rsid w:val="006862FC"/>
    <w:rsid w:val="00690858"/>
    <w:rsid w:val="00693DD5"/>
    <w:rsid w:val="006955D9"/>
    <w:rsid w:val="006A7D4E"/>
    <w:rsid w:val="006B58F3"/>
    <w:rsid w:val="006B5E7C"/>
    <w:rsid w:val="006C6661"/>
    <w:rsid w:val="006D0F8C"/>
    <w:rsid w:val="006D2DBB"/>
    <w:rsid w:val="006D31D9"/>
    <w:rsid w:val="006E204E"/>
    <w:rsid w:val="006E2940"/>
    <w:rsid w:val="006E7291"/>
    <w:rsid w:val="006F7589"/>
    <w:rsid w:val="0070086A"/>
    <w:rsid w:val="007155D5"/>
    <w:rsid w:val="0072063A"/>
    <w:rsid w:val="00725D6F"/>
    <w:rsid w:val="00734A22"/>
    <w:rsid w:val="00737A7A"/>
    <w:rsid w:val="00744F2E"/>
    <w:rsid w:val="007500CF"/>
    <w:rsid w:val="007518AB"/>
    <w:rsid w:val="0075330E"/>
    <w:rsid w:val="00753CFD"/>
    <w:rsid w:val="00756CAA"/>
    <w:rsid w:val="0076372D"/>
    <w:rsid w:val="00782F50"/>
    <w:rsid w:val="00785351"/>
    <w:rsid w:val="00794CCC"/>
    <w:rsid w:val="007D789C"/>
    <w:rsid w:val="007E6234"/>
    <w:rsid w:val="007F039A"/>
    <w:rsid w:val="007F182C"/>
    <w:rsid w:val="007F75C5"/>
    <w:rsid w:val="00806A2E"/>
    <w:rsid w:val="00830F6F"/>
    <w:rsid w:val="00836714"/>
    <w:rsid w:val="00836F99"/>
    <w:rsid w:val="00842DA2"/>
    <w:rsid w:val="008627BA"/>
    <w:rsid w:val="00866EA3"/>
    <w:rsid w:val="008710F5"/>
    <w:rsid w:val="00871BF6"/>
    <w:rsid w:val="00875902"/>
    <w:rsid w:val="00884C0A"/>
    <w:rsid w:val="00886060"/>
    <w:rsid w:val="008B7602"/>
    <w:rsid w:val="008D3BC6"/>
    <w:rsid w:val="008E68F3"/>
    <w:rsid w:val="008F38C1"/>
    <w:rsid w:val="008F3B2D"/>
    <w:rsid w:val="008F4C62"/>
    <w:rsid w:val="00956583"/>
    <w:rsid w:val="00972978"/>
    <w:rsid w:val="0097653E"/>
    <w:rsid w:val="00990479"/>
    <w:rsid w:val="00992FB0"/>
    <w:rsid w:val="009A061D"/>
    <w:rsid w:val="009B1E1F"/>
    <w:rsid w:val="009C6134"/>
    <w:rsid w:val="009E1155"/>
    <w:rsid w:val="009E6C46"/>
    <w:rsid w:val="009F44DD"/>
    <w:rsid w:val="00A06182"/>
    <w:rsid w:val="00A07B78"/>
    <w:rsid w:val="00A138A9"/>
    <w:rsid w:val="00A13A65"/>
    <w:rsid w:val="00A2694B"/>
    <w:rsid w:val="00A52A4A"/>
    <w:rsid w:val="00A57C44"/>
    <w:rsid w:val="00A6003D"/>
    <w:rsid w:val="00A6413A"/>
    <w:rsid w:val="00A71034"/>
    <w:rsid w:val="00A71A05"/>
    <w:rsid w:val="00A81802"/>
    <w:rsid w:val="00A94EE8"/>
    <w:rsid w:val="00AB0B5E"/>
    <w:rsid w:val="00AB2B4A"/>
    <w:rsid w:val="00AC3EB6"/>
    <w:rsid w:val="00AF046C"/>
    <w:rsid w:val="00AF1186"/>
    <w:rsid w:val="00AF15D0"/>
    <w:rsid w:val="00AF4722"/>
    <w:rsid w:val="00B00F82"/>
    <w:rsid w:val="00B11E15"/>
    <w:rsid w:val="00B13C2A"/>
    <w:rsid w:val="00B25D07"/>
    <w:rsid w:val="00B30BBC"/>
    <w:rsid w:val="00B324AF"/>
    <w:rsid w:val="00B35B2E"/>
    <w:rsid w:val="00B41E62"/>
    <w:rsid w:val="00B4431B"/>
    <w:rsid w:val="00B55C82"/>
    <w:rsid w:val="00B57D74"/>
    <w:rsid w:val="00B616CA"/>
    <w:rsid w:val="00B64030"/>
    <w:rsid w:val="00B6509A"/>
    <w:rsid w:val="00B86539"/>
    <w:rsid w:val="00B90552"/>
    <w:rsid w:val="00BA13A0"/>
    <w:rsid w:val="00BA5B9D"/>
    <w:rsid w:val="00BB18B1"/>
    <w:rsid w:val="00BC56DE"/>
    <w:rsid w:val="00BC739E"/>
    <w:rsid w:val="00BD3276"/>
    <w:rsid w:val="00BF2391"/>
    <w:rsid w:val="00C0115C"/>
    <w:rsid w:val="00C0156B"/>
    <w:rsid w:val="00C02013"/>
    <w:rsid w:val="00C03F88"/>
    <w:rsid w:val="00C10080"/>
    <w:rsid w:val="00C12897"/>
    <w:rsid w:val="00C12B88"/>
    <w:rsid w:val="00C1415D"/>
    <w:rsid w:val="00C27653"/>
    <w:rsid w:val="00C276D0"/>
    <w:rsid w:val="00C30512"/>
    <w:rsid w:val="00C31A14"/>
    <w:rsid w:val="00C33A06"/>
    <w:rsid w:val="00C34B76"/>
    <w:rsid w:val="00C34FB4"/>
    <w:rsid w:val="00C518F0"/>
    <w:rsid w:val="00C73BA8"/>
    <w:rsid w:val="00C927F3"/>
    <w:rsid w:val="00C92E9C"/>
    <w:rsid w:val="00CA0E7E"/>
    <w:rsid w:val="00CB3576"/>
    <w:rsid w:val="00CC05BA"/>
    <w:rsid w:val="00CC16F3"/>
    <w:rsid w:val="00D04561"/>
    <w:rsid w:val="00D10A12"/>
    <w:rsid w:val="00D13866"/>
    <w:rsid w:val="00D15EDA"/>
    <w:rsid w:val="00D21F7D"/>
    <w:rsid w:val="00D373A2"/>
    <w:rsid w:val="00D47D54"/>
    <w:rsid w:val="00D70C99"/>
    <w:rsid w:val="00D74E0F"/>
    <w:rsid w:val="00D86FD9"/>
    <w:rsid w:val="00D93F12"/>
    <w:rsid w:val="00D9675F"/>
    <w:rsid w:val="00DB1151"/>
    <w:rsid w:val="00DB481D"/>
    <w:rsid w:val="00DD00C7"/>
    <w:rsid w:val="00DD27D7"/>
    <w:rsid w:val="00DE5CC8"/>
    <w:rsid w:val="00DE65AC"/>
    <w:rsid w:val="00DF3FA9"/>
    <w:rsid w:val="00DF5118"/>
    <w:rsid w:val="00DF6520"/>
    <w:rsid w:val="00E41ECC"/>
    <w:rsid w:val="00E4439D"/>
    <w:rsid w:val="00E55263"/>
    <w:rsid w:val="00E55D73"/>
    <w:rsid w:val="00E65D32"/>
    <w:rsid w:val="00E72468"/>
    <w:rsid w:val="00E738E8"/>
    <w:rsid w:val="00E75BE7"/>
    <w:rsid w:val="00E77609"/>
    <w:rsid w:val="00E80AFB"/>
    <w:rsid w:val="00E823EE"/>
    <w:rsid w:val="00E83162"/>
    <w:rsid w:val="00E93748"/>
    <w:rsid w:val="00EA5E57"/>
    <w:rsid w:val="00EA64BC"/>
    <w:rsid w:val="00EB15E3"/>
    <w:rsid w:val="00EB7E41"/>
    <w:rsid w:val="00EC0683"/>
    <w:rsid w:val="00EC2BAD"/>
    <w:rsid w:val="00EC36D6"/>
    <w:rsid w:val="00EC4A97"/>
    <w:rsid w:val="00ED3B89"/>
    <w:rsid w:val="00EE3D7A"/>
    <w:rsid w:val="00EE6EA3"/>
    <w:rsid w:val="00EF3019"/>
    <w:rsid w:val="00EF6516"/>
    <w:rsid w:val="00F03248"/>
    <w:rsid w:val="00F11439"/>
    <w:rsid w:val="00F41BFB"/>
    <w:rsid w:val="00F51516"/>
    <w:rsid w:val="00F5637F"/>
    <w:rsid w:val="00F67A08"/>
    <w:rsid w:val="00F8268F"/>
    <w:rsid w:val="00F832AA"/>
    <w:rsid w:val="00F93B36"/>
    <w:rsid w:val="00F952A9"/>
    <w:rsid w:val="00FA3331"/>
    <w:rsid w:val="00FA3660"/>
    <w:rsid w:val="00FA4D57"/>
    <w:rsid w:val="00FA73DC"/>
    <w:rsid w:val="00FB1471"/>
    <w:rsid w:val="00FB157E"/>
    <w:rsid w:val="00FC7A42"/>
    <w:rsid w:val="00FD2C09"/>
    <w:rsid w:val="00FE6EDD"/>
    <w:rsid w:val="00FF29CB"/>
    <w:rsid w:val="00FF603B"/>
    <w:rsid w:val="00FF750D"/>
    <w:rsid w:val="1F3B15EE"/>
    <w:rsid w:val="64689028"/>
    <w:rsid w:val="7F6EC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D7115C"/>
  <w15:chartTrackingRefBased/>
  <w15:docId w15:val="{925209B1-56C3-44E0-99E7-755517114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710E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710E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71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71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71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71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71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71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71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04710E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04710E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04710E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04710E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04710E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04710E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04710E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04710E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04710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710E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04710E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71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0471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4710E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04710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4710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710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710E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04710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4710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B15E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89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22216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4857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471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812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6691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205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825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2386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0319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g" Id="rId8" /><Relationship Type="http://schemas.openxmlformats.org/officeDocument/2006/relationships/image" Target="media/image6.jpeg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image" Target="media/image5.jpeg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4.jpeg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image" Target="media/image3.jpeg" Id="rId10" /><Relationship Type="http://schemas.openxmlformats.org/officeDocument/2006/relationships/numbering" Target="numbering.xml" Id="rId4" /><Relationship Type="http://schemas.openxmlformats.org/officeDocument/2006/relationships/fontTable" Target="fontTable.xml" Id="rId14" /><Relationship Type="http://schemas.openxmlformats.org/officeDocument/2006/relationships/image" Target="/media/image7.jpg" Id="R54d0513cbc95457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36D8756E21934DBA71A7CEC1848211" ma:contentTypeVersion="18" ma:contentTypeDescription="Create a new document." ma:contentTypeScope="" ma:versionID="7ac099166c925517c9d40c1157551c63">
  <xsd:schema xmlns:xsd="http://www.w3.org/2001/XMLSchema" xmlns:xs="http://www.w3.org/2001/XMLSchema" xmlns:p="http://schemas.microsoft.com/office/2006/metadata/properties" xmlns:ns2="752305c1-8791-4ea5-99a4-f4672d44152e" xmlns:ns3="16fc500c-08e2-4af6-8ee7-1ae9452ef817" targetNamespace="http://schemas.microsoft.com/office/2006/metadata/properties" ma:root="true" ma:fieldsID="139198897c4ee7871ecdedf657b8a78c" ns2:_="" ns3:_="">
    <xsd:import namespace="752305c1-8791-4ea5-99a4-f4672d44152e"/>
    <xsd:import namespace="16fc500c-08e2-4af6-8ee7-1ae9452ef8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2305c1-8791-4ea5-99a4-f4672d4415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af61981-4f98-44df-bfbd-3f53fed131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fc500c-08e2-4af6-8ee7-1ae9452ef81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427289c-3e66-4a94-bf82-977d7990ed72}" ma:internalName="TaxCatchAll" ma:showField="CatchAllData" ma:web="16fc500c-08e2-4af6-8ee7-1ae9452ef8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6fc500c-08e2-4af6-8ee7-1ae9452ef817" xsi:nil="true"/>
    <lcf76f155ced4ddcb4097134ff3c332f xmlns="752305c1-8791-4ea5-99a4-f4672d44152e">
      <Terms xmlns="http://schemas.microsoft.com/office/infopath/2007/PartnerControls"/>
    </lcf76f155ced4ddcb4097134ff3c332f>
    <SharedWithUsers xmlns="16fc500c-08e2-4af6-8ee7-1ae9452ef817">
      <UserInfo>
        <DisplayName>Sondra Sorenson</DisplayName>
        <AccountId>190</AccountId>
        <AccountType/>
      </UserInfo>
      <UserInfo>
        <DisplayName>Jim</DisplayName>
        <AccountId>16</AccountId>
        <AccountType/>
      </UserInfo>
      <UserInfo>
        <DisplayName>Malcolm</DisplayName>
        <AccountId>9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99916CEB-EAE1-42C5-B4CB-B92566520D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ED28D9-0CF4-4605-9BA7-A304F8139B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2305c1-8791-4ea5-99a4-f4672d44152e"/>
    <ds:schemaRef ds:uri="16fc500c-08e2-4af6-8ee7-1ae9452ef8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D09EB6-0CCA-45E9-91EB-56B474CC4722}">
  <ds:schemaRefs>
    <ds:schemaRef ds:uri="http://schemas.microsoft.com/office/2006/metadata/properties"/>
    <ds:schemaRef ds:uri="http://schemas.microsoft.com/office/infopath/2007/PartnerControls"/>
    <ds:schemaRef ds:uri="16fc500c-08e2-4af6-8ee7-1ae9452ef817"/>
    <ds:schemaRef ds:uri="752305c1-8791-4ea5-99a4-f4672d44152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Malcolm</dc:creator>
  <cp:keywords/>
  <dc:description/>
  <cp:lastModifiedBy>Alex Maier</cp:lastModifiedBy>
  <cp:revision>116</cp:revision>
  <dcterms:created xsi:type="dcterms:W3CDTF">2024-03-24T16:13:00Z</dcterms:created>
  <dcterms:modified xsi:type="dcterms:W3CDTF">2024-04-12T20:38:53Z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0x0101002C36D8756E21934DBA71A7CEC1848211</vt:lpwstr>
  </property>
  <property fmtid="{D5CDD505-2E9C-101B-9397-08002B2CF9AE}" pid="3" name="MediaServiceImageTags">
    <vt:lpwstr/>
  </property>
</Properties>
</file>